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964d4_4seq1.xml.htm"/>
      <w:bookmarkStart w:id="1" w:name="kstm2617964d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Chandrasekhar Satishchandran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GREAT VALLEY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Ocugen, Inc.</w:t>
              </w:r>
            </w:hyperlink>
            <w:r>
              <w:rPr/>
              <w:t xml:space="preserve"> [ </w:t>
            </w:r>
            <w:r>
              <w:rPr>
                <w:rFonts w:ascii="Times;serif" w:hAnsi="Times;serif"/>
                <w:color w:val="0000FF"/>
                <w:sz w:val="24"/>
                <w:shd w:fill="FFFFFF" w:val="clear"/>
              </w:rPr>
              <w:t>OCGN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upon the earlier of (a) June 11, 2027 or (b) Ocugen, Inc.'s next annual meeting of stockholders,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Shankar Musunuri,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285" TargetMode="External"/><Relationship Id="rId5" Type="http://schemas.openxmlformats.org/officeDocument/2006/relationships/hyperlink" Target="http://www.sec.gov/cgi-bin/browse-edgar?action=getcompany&amp;CIK=00013722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3272</Characters>
  <CharactersWithSpaces>3809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