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United States Securities and Exchange Commission on March 22, 2021</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OCUGEN,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45" w:right="339" w:bottom="0" w:gutter="0" w:footer="0" w:header="0"/>
        </w:sectPr>
      </w:pPr>
    </w:p>
    <w:p>
      <w:pPr>
        <w:spacing w:after="0" w:line="20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04-3522315</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2">
            <w:col w:w="6480" w:space="720"/>
            <w:col w:w="4040"/>
          </w:cols>
          <w:pgMar w:left="320" w:top="445" w:right="339" w:bottom="0" w:gutter="0" w:footer="0" w:header="0"/>
          <w:type w:val="continuous"/>
        </w:sectPr>
      </w:pPr>
    </w:p>
    <w:p>
      <w:pPr>
        <w:ind w:left="2320"/>
        <w:spacing w:after="0"/>
        <w:rPr>
          <w:sz w:val="20"/>
          <w:szCs w:val="20"/>
          <w:color w:val="auto"/>
        </w:rPr>
      </w:pPr>
      <w:r>
        <w:rPr>
          <w:rFonts w:ascii="Arial" w:cs="Arial" w:eastAsia="Arial" w:hAnsi="Arial"/>
          <w:sz w:val="18"/>
          <w:szCs w:val="18"/>
          <w:color w:val="auto"/>
        </w:rPr>
        <w:t>organization)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263 Great Valley Parkway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Malvern, Pennsylvania 19355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(484) 328-4701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OCUGEN, INC. 2019 EQUITY INCENTIVE PLAN</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Shankar Musunuri</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Chairman of the Board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Ocugen,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263 Great Valley Parkway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Malvern, Pennsylvania 19355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(484) 328-4701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Rachael M. Bushey,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Jennifer L. Porter,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Troutman Pepper Hamilton Sanders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3000 Two Logan Square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(215) 981-4331</w:t>
      </w:r>
    </w:p>
    <w:p>
      <w:pPr>
        <w:spacing w:after="0" w:line="211"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151" w:lineRule="exact"/>
        <w:rPr>
          <w:sz w:val="24"/>
          <w:szCs w:val="24"/>
          <w:color w:val="auto"/>
        </w:rPr>
      </w:pPr>
    </w:p>
    <w:p>
      <w:pPr>
        <w:ind w:left="60"/>
        <w:spacing w:after="0" w:line="207" w:lineRule="exact"/>
        <w:tabs>
          <w:tab w:leader="none" w:pos="2060" w:val="left"/>
          <w:tab w:leader="none" w:pos="3640" w:val="left"/>
          <w:tab w:leader="none" w:pos="6460" w:val="left"/>
          <w:tab w:leader="none" w:pos="89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8" w:lineRule="exact"/>
        <w:rPr>
          <w:sz w:val="24"/>
          <w:szCs w:val="24"/>
          <w:color w:val="auto"/>
        </w:rPr>
      </w:pPr>
    </w:p>
    <w:p>
      <w:pPr>
        <w:ind w:left="60"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660" w:type="dxa"/>
            <w:vAlign w:val="bottom"/>
            <w:gridSpan w:val="6"/>
          </w:tcPr>
          <w:p>
            <w:pPr>
              <w:jc w:val="right"/>
              <w:spacing w:after="0"/>
              <w:rPr>
                <w:sz w:val="20"/>
                <w:szCs w:val="20"/>
                <w:color w:val="auto"/>
              </w:rPr>
            </w:pPr>
            <w:r>
              <w:rPr>
                <w:rFonts w:ascii="Arial" w:cs="Arial" w:eastAsia="Arial" w:hAnsi="Arial"/>
                <w:sz w:val="18"/>
                <w:szCs w:val="18"/>
                <w:b w:val="1"/>
                <w:bCs w:val="1"/>
                <w:color w:val="auto"/>
              </w:rPr>
              <w:t>CALCULATION OF REGISTRATION FEE</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Proposed Maximum</w:t>
            </w: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Proposed Maximum</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780" w:type="dxa"/>
            <w:vAlign w:val="bottom"/>
          </w:tcPr>
          <w:p>
            <w:pPr>
              <w:jc w:val="center"/>
              <w:ind w:left="870"/>
              <w:spacing w:after="0"/>
              <w:rPr>
                <w:sz w:val="20"/>
                <w:szCs w:val="20"/>
                <w:color w:val="auto"/>
              </w:rPr>
            </w:pPr>
            <w:r>
              <w:rPr>
                <w:rFonts w:ascii="Arial" w:cs="Arial" w:eastAsia="Arial" w:hAnsi="Arial"/>
                <w:sz w:val="18"/>
                <w:szCs w:val="18"/>
                <w:b w:val="1"/>
                <w:bCs w:val="1"/>
                <w:color w:val="auto"/>
                <w:w w:val="88"/>
              </w:rPr>
              <w:t>Title of Each Class of Securities to</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 to be</w:t>
            </w:r>
          </w:p>
        </w:tc>
        <w:tc>
          <w:tcPr>
            <w:tcW w:w="60" w:type="dxa"/>
            <w:vAlign w:val="bottom"/>
          </w:tcPr>
          <w:p>
            <w:pPr>
              <w:spacing w:after="0"/>
              <w:rPr>
                <w:sz w:val="18"/>
                <w:szCs w:val="18"/>
                <w:color w:val="auto"/>
              </w:rPr>
            </w:pPr>
          </w:p>
        </w:tc>
        <w:tc>
          <w:tcPr>
            <w:tcW w:w="18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Offering Price Per</w:t>
            </w: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Aggregate Offering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Registration</w:t>
            </w:r>
          </w:p>
        </w:tc>
      </w:tr>
      <w:tr>
        <w:trPr>
          <w:trHeight w:val="234"/>
        </w:trPr>
        <w:tc>
          <w:tcPr>
            <w:tcW w:w="3780" w:type="dxa"/>
            <w:vAlign w:val="bottom"/>
          </w:tcPr>
          <w:p>
            <w:pPr>
              <w:jc w:val="center"/>
              <w:ind w:left="810"/>
              <w:spacing w:after="0"/>
              <w:rPr>
                <w:sz w:val="20"/>
                <w:szCs w:val="20"/>
                <w:color w:val="auto"/>
              </w:rPr>
            </w:pPr>
            <w:r>
              <w:rPr>
                <w:rFonts w:ascii="Arial" w:cs="Arial" w:eastAsia="Arial" w:hAnsi="Arial"/>
                <w:sz w:val="18"/>
                <w:szCs w:val="18"/>
                <w:b w:val="1"/>
                <w:bCs w:val="1"/>
                <w:color w:val="auto"/>
                <w:w w:val="87"/>
              </w:rPr>
              <w:t>be Registered</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Registered (1)</w:t>
            </w:r>
          </w:p>
        </w:tc>
        <w:tc>
          <w:tcPr>
            <w:tcW w:w="60" w:type="dxa"/>
            <w:vAlign w:val="bottom"/>
          </w:tcPr>
          <w:p>
            <w:pPr>
              <w:spacing w:after="0"/>
              <w:rPr>
                <w:sz w:val="20"/>
                <w:szCs w:val="20"/>
                <w:color w:val="auto"/>
              </w:rPr>
            </w:pPr>
          </w:p>
        </w:tc>
        <w:tc>
          <w:tcPr>
            <w:tcW w:w="1160" w:type="dxa"/>
            <w:vAlign w:val="bottom"/>
          </w:tcPr>
          <w:p>
            <w:pPr>
              <w:jc w:val="center"/>
              <w:ind w:left="310"/>
              <w:spacing w:after="0"/>
              <w:rPr>
                <w:sz w:val="20"/>
                <w:szCs w:val="20"/>
                <w:color w:val="auto"/>
              </w:rPr>
            </w:pPr>
            <w:r>
              <w:rPr>
                <w:rFonts w:ascii="Arial" w:cs="Arial" w:eastAsia="Arial" w:hAnsi="Arial"/>
                <w:sz w:val="18"/>
                <w:szCs w:val="18"/>
                <w:b w:val="1"/>
                <w:bCs w:val="1"/>
                <w:color w:val="auto"/>
                <w:w w:val="87"/>
              </w:rPr>
              <w:t>Share</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Price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3"/>
              </w:rPr>
              <w:t>Fee</w:t>
            </w:r>
          </w:p>
        </w:tc>
      </w:tr>
      <w:tr>
        <w:trPr>
          <w:trHeight w:val="195"/>
        </w:trPr>
        <w:tc>
          <w:tcPr>
            <w:tcW w:w="468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0"/>
              </w:rPr>
              <w:t>Common stock, $0.01 par value per share, reserved for issuance</w:t>
            </w: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44"/>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pursuant to 2019 Equity Incentive Plan</w:t>
            </w:r>
          </w:p>
        </w:tc>
        <w:tc>
          <w:tcPr>
            <w:tcW w:w="2440" w:type="dxa"/>
            <w:vAlign w:val="bottom"/>
            <w:gridSpan w:val="4"/>
            <w:shd w:val="clear" w:color="auto" w:fill="CCEEFF"/>
          </w:tcPr>
          <w:p>
            <w:pPr>
              <w:ind w:left="1460"/>
              <w:spacing w:after="0"/>
              <w:rPr>
                <w:sz w:val="20"/>
                <w:szCs w:val="20"/>
                <w:color w:val="auto"/>
              </w:rPr>
            </w:pPr>
            <w:r>
              <w:rPr>
                <w:rFonts w:ascii="Arial" w:cs="Arial" w:eastAsia="Arial" w:hAnsi="Arial"/>
                <w:sz w:val="18"/>
                <w:szCs w:val="18"/>
                <w:color w:val="auto"/>
                <w:w w:val="94"/>
              </w:rPr>
              <w:t>7,360,475(2)</w:t>
            </w:r>
          </w:p>
        </w:tc>
        <w:tc>
          <w:tcPr>
            <w:tcW w:w="122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8.85(3)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65,140,203.75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7,106.80</w:t>
            </w:r>
          </w:p>
        </w:tc>
        <w:tc>
          <w:tcPr>
            <w:tcW w:w="80" w:type="dxa"/>
            <w:vAlign w:val="bottom"/>
            <w:shd w:val="clear" w:color="auto" w:fill="CCEEFF"/>
          </w:tcPr>
          <w:p>
            <w:pPr>
              <w:spacing w:after="0"/>
              <w:rPr>
                <w:sz w:val="21"/>
                <w:szCs w:val="21"/>
                <w:color w:val="auto"/>
              </w:rPr>
            </w:pPr>
          </w:p>
        </w:tc>
      </w:tr>
      <w:tr>
        <w:trPr>
          <w:trHeight w:val="209"/>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7"/>
              </w:rPr>
              <w:t>7,360,475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65,140,203.75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7,106.80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56" w:lineRule="exact"/>
        <w:rPr>
          <w:sz w:val="24"/>
          <w:szCs w:val="24"/>
          <w:color w:val="auto"/>
        </w:rPr>
      </w:pPr>
    </w:p>
    <w:p>
      <w:pPr>
        <w:jc w:val="both"/>
        <w:ind w:right="80" w:firstLine="8"/>
        <w:spacing w:after="0" w:line="311" w:lineRule="auto"/>
        <w:tabs>
          <w:tab w:leader="none" w:pos="255"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this Registration Statement on Form S-8 shall also cover any additional shares of common stock, par value $0.01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 Ocugen, Inc. (the “</w:t>
      </w:r>
      <w:r>
        <w:rPr>
          <w:rFonts w:ascii="Arial" w:cs="Arial" w:eastAsia="Arial" w:hAnsi="Arial"/>
          <w:sz w:val="16"/>
          <w:szCs w:val="16"/>
          <w:u w:val="single" w:color="auto"/>
          <w:color w:val="auto"/>
        </w:rPr>
        <w:t>Company</w:t>
      </w:r>
      <w:r>
        <w:rPr>
          <w:rFonts w:ascii="Arial" w:cs="Arial" w:eastAsia="Arial" w:hAnsi="Arial"/>
          <w:sz w:val="16"/>
          <w:szCs w:val="16"/>
          <w:color w:val="auto"/>
        </w:rPr>
        <w:t>”), which become issuable under the above-named plan by reason of any future stock dividend, stock split, recapitalization or other similar transaction or to cover such additional shares as may</w:t>
      </w:r>
    </w:p>
    <w:p>
      <w:pPr>
        <w:sectPr>
          <w:pgSz w:w="11900" w:h="16838" w:orient="portrait"/>
          <w:cols w:equalWidth="0" w:num="1">
            <w:col w:w="11240"/>
          </w:cols>
          <w:pgMar w:left="320" w:top="445" w:right="339" w:bottom="0" w:gutter="0" w:footer="0" w:header="0"/>
          <w:type w:val="continuous"/>
        </w:sectPr>
      </w:pPr>
    </w:p>
    <w:bookmarkStart w:id="1" w:name="page2"/>
    <w:bookmarkEnd w:id="1"/>
    <w:p>
      <w:pPr>
        <w:ind w:right="460"/>
        <w:spacing w:after="0" w:line="342" w:lineRule="auto"/>
        <w:rPr>
          <w:sz w:val="20"/>
          <w:szCs w:val="20"/>
          <w:color w:val="auto"/>
        </w:rPr>
      </w:pPr>
      <w:r>
        <w:rPr>
          <w:rFonts w:ascii="Arial" w:cs="Arial" w:eastAsia="Arial" w:hAnsi="Arial"/>
          <w:sz w:val="16"/>
          <w:szCs w:val="16"/>
          <w:color w:val="auto"/>
        </w:rPr>
        <w:t>hereinafter be offered or issued to prevent dilution resulting from stock splits, stock dividends, recapitalizations or certain other capital adjustments, effected without the receipt of consideration by the Company, which results in an increase in the number of the outstanding shares of Common Stock.</w:t>
      </w:r>
    </w:p>
    <w:p>
      <w:pPr>
        <w:spacing w:after="0" w:line="16" w:lineRule="exact"/>
        <w:rPr>
          <w:sz w:val="20"/>
          <w:szCs w:val="20"/>
          <w:color w:val="auto"/>
        </w:rPr>
      </w:pPr>
    </w:p>
    <w:p>
      <w:pPr>
        <w:ind w:right="20" w:firstLine="8"/>
        <w:spacing w:after="0" w:line="296"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7,360,475 shares of Common Stock of the Company that were added to the shares authorized for issuance under the Ocugen, Inc. 2019 Equity Incentive Plan (the “</w:t>
      </w:r>
      <w:r>
        <w:rPr>
          <w:rFonts w:ascii="Arial" w:cs="Arial" w:eastAsia="Arial" w:hAnsi="Arial"/>
          <w:sz w:val="16"/>
          <w:szCs w:val="16"/>
          <w:u w:val="single" w:color="auto"/>
          <w:color w:val="auto"/>
        </w:rPr>
        <w:t>2019 Plan</w:t>
      </w:r>
      <w:r>
        <w:rPr>
          <w:rFonts w:ascii="Arial" w:cs="Arial" w:eastAsia="Arial" w:hAnsi="Arial"/>
          <w:sz w:val="16"/>
          <w:szCs w:val="16"/>
          <w:color w:val="auto"/>
        </w:rPr>
        <w:t>”) on January 4, 2021, pursuant to an “evergreen” provision contained in the 2019 Plan. Pursuant to such provision in the 2019 Plan, as of the first business day of each fiscal year, the aggregate number of shares of Common Stock that may be issued under the 2019 Plan shall automatically increase by a number equal to the lesser of (x) 4.0% of the total number of shares of Common Stock outstanding on December 31 of the immediately preceding calendar year, or (y) such lesser number of shares of Common Stock determined by the Company’s Board of Directors.</w:t>
      </w:r>
    </w:p>
    <w:p>
      <w:pPr>
        <w:spacing w:after="0" w:line="53" w:lineRule="exact"/>
        <w:rPr>
          <w:rFonts w:ascii="Arial" w:cs="Arial" w:eastAsia="Arial" w:hAnsi="Arial"/>
          <w:sz w:val="16"/>
          <w:szCs w:val="16"/>
          <w:color w:val="auto"/>
        </w:rPr>
      </w:pPr>
    </w:p>
    <w:p>
      <w:pPr>
        <w:ind w:firstLine="8"/>
        <w:spacing w:after="0" w:line="308"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This estimate is made pursuant to Rule 457(c) and Rule 457(h) of the Securities Act solely for the purpose of calculating the registration fee on the basis of the average of the high and low prices of the Registrant’s common stock as reported on The Nasdaq Capital Market on March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Registration Statement on Form S-8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is being filed for the purpose of registering an additional 7,360,475 shares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common stock, par value $0.01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Ocugen, Inc. (the “</w:t>
      </w:r>
      <w:r>
        <w:rPr>
          <w:rFonts w:ascii="Arial" w:cs="Arial" w:eastAsia="Arial" w:hAnsi="Arial"/>
          <w:sz w:val="17"/>
          <w:szCs w:val="17"/>
          <w:u w:val="single" w:color="auto"/>
          <w:color w:val="auto"/>
        </w:rPr>
        <w:t>Registrant</w:t>
      </w:r>
      <w:r>
        <w:rPr>
          <w:rFonts w:ascii="Arial" w:cs="Arial" w:eastAsia="Arial" w:hAnsi="Arial"/>
          <w:sz w:val="17"/>
          <w:szCs w:val="17"/>
          <w:color w:val="auto"/>
        </w:rPr>
        <w:t>”), issuable pursuant to the Ocugen, Inc. 2019 Equity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Incentive Plan (the “</w:t>
      </w:r>
      <w:r>
        <w:rPr>
          <w:rFonts w:ascii="Arial" w:cs="Arial" w:eastAsia="Arial" w:hAnsi="Arial"/>
          <w:sz w:val="17"/>
          <w:szCs w:val="17"/>
          <w:u w:val="single" w:color="auto"/>
          <w:color w:val="auto"/>
        </w:rPr>
        <w:t>2019 Plan</w:t>
      </w:r>
      <w:r>
        <w:rPr>
          <w:rFonts w:ascii="Arial" w:cs="Arial" w:eastAsia="Arial" w:hAnsi="Arial"/>
          <w:sz w:val="17"/>
          <w:szCs w:val="17"/>
          <w:color w:val="auto"/>
        </w:rPr>
        <w:t>”). These additional shares of Common Stock have become reserved for issuance as a result of the operation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“evergreen” provision in the 2019 Plan, which provides that the total number of shares subject to such plan will be increased on the first day of each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pursuant to a specified formula or will be increased to such lesser total number of shares as may be determined by the Board. Upon the effectiveness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this Registration Statement, an aggregate of 11,527,109 shares of Common Stock will be registered for issuance from time to time under the 2019 Plan.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contents of the previous Registration Statement on Form S-8 filed by the Registrant with the Securities and Exchange Commission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on March 27, 2020 (File No. 333-237454), to the extent not otherwise amended or superseded by the contents hereof, are incorporated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reference into this Registration Statement pursuant to General Instruction E of Form S-8.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documents of the Registrant, filed or to be filed with the Commission, are incorporated by reference in this Registration Statement as of their respective dates:</w:t>
      </w:r>
    </w:p>
    <w:p>
      <w:pPr>
        <w:spacing w:after="0" w:line="170" w:lineRule="exact"/>
        <w:rPr>
          <w:sz w:val="20"/>
          <w:szCs w:val="20"/>
          <w:color w:val="auto"/>
        </w:rPr>
      </w:pPr>
    </w:p>
    <w:p>
      <w:pPr>
        <w:ind w:left="660" w:right="60" w:firstLine="644"/>
        <w:spacing w:after="0" w:line="263" w:lineRule="auto"/>
        <w:tabs>
          <w:tab w:leader="none" w:pos="2047" w:val="left"/>
        </w:tabs>
        <w:numPr>
          <w:ilvl w:val="0"/>
          <w:numId w:val="3"/>
        </w:numPr>
        <w:rPr>
          <w:rFonts w:ascii="Arial" w:cs="Arial" w:eastAsia="Arial" w:hAnsi="Arial"/>
          <w:sz w:val="18"/>
          <w:szCs w:val="18"/>
          <w:color w:val="0000EE"/>
        </w:rPr>
      </w:pPr>
      <w:hyperlink r:id="rId18">
        <w:r>
          <w:rPr>
            <w:rFonts w:ascii="Arial" w:cs="Arial" w:eastAsia="Arial" w:hAnsi="Arial"/>
            <w:sz w:val="18"/>
            <w:szCs w:val="18"/>
            <w:color w:val="auto"/>
          </w:rPr>
          <w:t xml:space="preserve">the Registrant’s </w:t>
        </w:r>
        <w:r>
          <w:rPr>
            <w:rFonts w:ascii="Arial" w:cs="Arial" w:eastAsia="Arial" w:hAnsi="Arial"/>
            <w:sz w:val="18"/>
            <w:szCs w:val="18"/>
            <w:u w:val="single" w:color="auto"/>
            <w:color w:val="0000EE"/>
          </w:rPr>
          <w:t>Annual Report on Form 10-K for the year ended December 31, 2020, filed with the Commission on March 19,</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EE"/>
          </w:rPr>
          <w:t>2021</w:t>
        </w:r>
        <w:r>
          <w:rPr>
            <w:rFonts w:ascii="Arial" w:cs="Arial" w:eastAsia="Arial" w:hAnsi="Arial"/>
            <w:sz w:val="18"/>
            <w:szCs w:val="18"/>
            <w:color w:val="000000"/>
          </w:rPr>
          <w:t>, which contains the Company’s audited financial statements for the latest fiscal year for which such statements have been filed (the “</w:t>
        </w:r>
        <w:r>
          <w:rPr>
            <w:rFonts w:ascii="Arial" w:cs="Arial" w:eastAsia="Arial" w:hAnsi="Arial"/>
            <w:sz w:val="18"/>
            <w:szCs w:val="18"/>
            <w:u w:val="single" w:color="auto"/>
            <w:color w:val="000000"/>
          </w:rPr>
          <w:t>2020</w:t>
        </w:r>
      </w:hyperlink>
      <w:r>
        <w:rPr>
          <w:rFonts w:ascii="Arial" w:cs="Arial" w:eastAsia="Arial" w:hAnsi="Arial"/>
          <w:sz w:val="18"/>
          <w:szCs w:val="18"/>
          <w:color w:val="0000EE"/>
        </w:rPr>
        <w:t xml:space="preserve"> </w:t>
      </w:r>
      <w:r>
        <w:rPr>
          <w:rFonts w:ascii="Arial" w:cs="Arial" w:eastAsia="Arial" w:hAnsi="Arial"/>
          <w:sz w:val="18"/>
          <w:szCs w:val="18"/>
          <w:u w:val="single" w:color="auto"/>
          <w:color w:val="000000"/>
        </w:rPr>
        <w:t>Form 10-K</w:t>
      </w:r>
      <w:r>
        <w:rPr>
          <w:rFonts w:ascii="Arial" w:cs="Arial" w:eastAsia="Arial" w:hAnsi="Arial"/>
          <w:sz w:val="18"/>
          <w:szCs w:val="18"/>
          <w:color w:val="000000"/>
        </w:rPr>
        <w:t>”);</w:t>
      </w:r>
    </w:p>
    <w:p>
      <w:pPr>
        <w:spacing w:after="0" w:line="183" w:lineRule="exact"/>
        <w:rPr>
          <w:rFonts w:ascii="Arial" w:cs="Arial" w:eastAsia="Arial" w:hAnsi="Arial"/>
          <w:sz w:val="18"/>
          <w:szCs w:val="18"/>
          <w:color w:val="0000EE"/>
        </w:rPr>
      </w:pPr>
    </w:p>
    <w:p>
      <w:pPr>
        <w:ind w:left="660" w:right="40" w:firstLine="644"/>
        <w:spacing w:after="0" w:line="263" w:lineRule="auto"/>
        <w:tabs>
          <w:tab w:leader="none" w:pos="2012" w:val="left"/>
        </w:tabs>
        <w:numPr>
          <w:ilvl w:val="0"/>
          <w:numId w:val="3"/>
        </w:numPr>
        <w:rPr>
          <w:rFonts w:ascii="Arial" w:cs="Arial" w:eastAsia="Arial" w:hAnsi="Arial"/>
          <w:sz w:val="18"/>
          <w:szCs w:val="18"/>
          <w:color w:val="0000EE"/>
        </w:rPr>
      </w:pPr>
      <w:r>
        <w:rPr>
          <w:rFonts w:ascii="Arial" w:cs="Arial" w:eastAsia="Arial" w:hAnsi="Arial"/>
          <w:sz w:val="18"/>
          <w:szCs w:val="18"/>
          <w:color w:val="auto"/>
        </w:rPr>
        <w:t xml:space="preserve">the Registrant’s Current Reports on Form 8-K (other than portions thereof furnished under Item 2.02 or Item 7.01 of Form 8-K and exhibits accompanying such reports related to such items) filed with the Commission on </w:t>
      </w:r>
      <w:hyperlink r:id="rId19">
        <w:r>
          <w:rPr>
            <w:rFonts w:ascii="Arial" w:cs="Arial" w:eastAsia="Arial" w:hAnsi="Arial"/>
            <w:sz w:val="18"/>
            <w:szCs w:val="18"/>
            <w:u w:val="single" w:color="auto"/>
            <w:color w:val="0000EE"/>
          </w:rPr>
          <w:t>January 8, 2021</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January 12, 2021</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February 4, 2021</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February 9,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3">
        <w:r>
          <w:rPr>
            <w:rFonts w:ascii="Arial" w:cs="Arial" w:eastAsia="Arial" w:hAnsi="Arial"/>
            <w:sz w:val="18"/>
            <w:szCs w:val="18"/>
            <w:u w:val="single" w:color="auto"/>
            <w:color w:val="0000EE"/>
          </w:rPr>
          <w:t>February 23,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4">
        <w:r>
          <w:rPr>
            <w:rFonts w:ascii="Arial" w:cs="Arial" w:eastAsia="Arial" w:hAnsi="Arial"/>
            <w:sz w:val="18"/>
            <w:szCs w:val="18"/>
            <w:u w:val="single" w:color="auto"/>
            <w:color w:val="0000EE"/>
          </w:rPr>
          <w:t>March 3,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5">
        <w:r>
          <w:rPr>
            <w:rFonts w:ascii="Arial" w:cs="Arial" w:eastAsia="Arial" w:hAnsi="Arial"/>
            <w:sz w:val="18"/>
            <w:szCs w:val="18"/>
            <w:u w:val="single" w:color="auto"/>
            <w:color w:val="0000EE"/>
          </w:rPr>
          <w:t xml:space="preserve">March 5, 2021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6">
        <w:r>
          <w:rPr>
            <w:rFonts w:ascii="Arial" w:cs="Arial" w:eastAsia="Arial" w:hAnsi="Arial"/>
            <w:sz w:val="18"/>
            <w:szCs w:val="18"/>
            <w:u w:val="single" w:color="auto"/>
            <w:color w:val="0000EE"/>
          </w:rPr>
          <w:t>March 17,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83" w:lineRule="exact"/>
        <w:rPr>
          <w:rFonts w:ascii="Arial" w:cs="Arial" w:eastAsia="Arial" w:hAnsi="Arial"/>
          <w:sz w:val="18"/>
          <w:szCs w:val="18"/>
          <w:color w:val="0000EE"/>
        </w:rPr>
      </w:pPr>
    </w:p>
    <w:p>
      <w:pPr>
        <w:ind w:left="660" w:right="600" w:firstLine="644"/>
        <w:spacing w:after="0" w:line="263" w:lineRule="auto"/>
        <w:tabs>
          <w:tab w:leader="none" w:pos="2047" w:val="left"/>
        </w:tabs>
        <w:numPr>
          <w:ilvl w:val="0"/>
          <w:numId w:val="3"/>
        </w:numPr>
        <w:rPr>
          <w:rFonts w:ascii="Arial" w:cs="Arial" w:eastAsia="Arial" w:hAnsi="Arial"/>
          <w:sz w:val="18"/>
          <w:szCs w:val="18"/>
          <w:color w:val="000000"/>
        </w:rPr>
      </w:pPr>
      <w:hyperlink r:id="rId27">
        <w:r>
          <w:rPr>
            <w:rFonts w:ascii="Arial" w:cs="Arial" w:eastAsia="Arial" w:hAnsi="Arial"/>
            <w:sz w:val="18"/>
            <w:szCs w:val="18"/>
            <w:color w:val="auto"/>
          </w:rPr>
          <w:t xml:space="preserve">the description of the Registrant’s Common Stock contained in its registration statement on </w:t>
        </w:r>
        <w:r>
          <w:rPr>
            <w:rFonts w:ascii="Arial" w:cs="Arial" w:eastAsia="Arial" w:hAnsi="Arial"/>
            <w:sz w:val="18"/>
            <w:szCs w:val="18"/>
            <w:u w:val="single" w:color="auto"/>
            <w:color w:val="0000EE"/>
          </w:rPr>
          <w:t>Form 8-A filed with the</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Commission on November 18, 2014 (File No. 001-36751)</w:t>
        </w:r>
        <w:r>
          <w:rPr>
            <w:rFonts w:ascii="Arial" w:cs="Arial" w:eastAsia="Arial" w:hAnsi="Arial"/>
            <w:sz w:val="18"/>
            <w:szCs w:val="18"/>
            <w:color w:val="000000"/>
          </w:rPr>
          <w:t xml:space="preserve">, together with any amendments or reports filed for the purposes of updating </w:t>
        </w:r>
      </w:hyperlink>
      <w:r>
        <w:rPr>
          <w:rFonts w:ascii="Arial" w:cs="Arial" w:eastAsia="Arial" w:hAnsi="Arial"/>
          <w:sz w:val="18"/>
          <w:szCs w:val="18"/>
          <w:color w:val="0000EE"/>
        </w:rPr>
        <w:t xml:space="preserve">this </w:t>
      </w:r>
      <w:r>
        <w:rPr>
          <w:rFonts w:ascii="Arial" w:cs="Arial" w:eastAsia="Arial" w:hAnsi="Arial"/>
          <w:sz w:val="18"/>
          <w:szCs w:val="18"/>
          <w:color w:val="000000"/>
        </w:rPr>
        <w:t xml:space="preserve">description, including </w:t>
      </w:r>
      <w:hyperlink r:id="rId28">
        <w:r>
          <w:rPr>
            <w:rFonts w:ascii="Arial" w:cs="Arial" w:eastAsia="Arial" w:hAnsi="Arial"/>
            <w:sz w:val="18"/>
            <w:szCs w:val="18"/>
            <w:u w:val="single" w:color="auto"/>
            <w:color w:val="0000EE"/>
          </w:rPr>
          <w:t>Exhibit 4.1</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to our 2020 Form 10-K.</w:t>
      </w:r>
    </w:p>
    <w:p>
      <w:pPr>
        <w:spacing w:after="0" w:line="184" w:lineRule="exact"/>
        <w:rPr>
          <w:rFonts w:ascii="Arial" w:cs="Arial" w:eastAsia="Arial" w:hAnsi="Arial"/>
          <w:sz w:val="18"/>
          <w:szCs w:val="18"/>
          <w:color w:val="auto"/>
        </w:rPr>
      </w:pPr>
    </w:p>
    <w:p>
      <w:pPr>
        <w:ind w:firstLine="648"/>
        <w:spacing w:after="0" w:line="253" w:lineRule="auto"/>
        <w:rPr>
          <w:sz w:val="20"/>
          <w:szCs w:val="20"/>
          <w:color w:val="auto"/>
        </w:rPr>
      </w:pPr>
      <w:r>
        <w:rPr>
          <w:rFonts w:ascii="Arial" w:cs="Arial" w:eastAsia="Arial" w:hAnsi="Arial"/>
          <w:sz w:val="18"/>
          <w:szCs w:val="18"/>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information deemed to have been furnished and not filed in accordance with Commission rules shall not be deemed incorporated by reference into this Registration Statement.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Registration Statement.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60" w:type="dxa"/>
            <w:vAlign w:val="bottom"/>
            <w:gridSpan w:val="4"/>
          </w:tcPr>
          <w:p>
            <w:pPr>
              <w:spacing w:after="0"/>
              <w:rPr>
                <w:sz w:val="20"/>
                <w:szCs w:val="20"/>
                <w:color w:val="auto"/>
              </w:rPr>
            </w:pPr>
            <w:r>
              <w:rPr>
                <w:rFonts w:ascii="Arial" w:cs="Arial" w:eastAsia="Arial" w:hAnsi="Arial"/>
                <w:sz w:val="18"/>
                <w:szCs w:val="18"/>
                <w:b w:val="1"/>
                <w:bCs w:val="1"/>
                <w:color w:val="auto"/>
              </w:rPr>
              <w:t>Item 8.</w:t>
            </w:r>
          </w:p>
        </w:tc>
        <w:tc>
          <w:tcPr>
            <w:tcW w:w="10580" w:type="dxa"/>
            <w:vAlign w:val="bottom"/>
            <w:gridSpan w:val="18"/>
          </w:tcPr>
          <w:p>
            <w:pPr>
              <w:ind w:left="60"/>
              <w:spacing w:after="0"/>
              <w:rPr>
                <w:sz w:val="20"/>
                <w:szCs w:val="20"/>
                <w:color w:val="auto"/>
              </w:rPr>
            </w:pPr>
            <w:r>
              <w:rPr>
                <w:rFonts w:ascii="Arial" w:cs="Arial" w:eastAsia="Arial" w:hAnsi="Arial"/>
                <w:sz w:val="18"/>
                <w:szCs w:val="18"/>
                <w:color w:val="auto"/>
              </w:rPr>
              <w:t>Exhibits.</w:t>
            </w:r>
          </w:p>
        </w:tc>
      </w:tr>
      <w:tr>
        <w:trPr>
          <w:trHeight w:val="43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580" w:type="dxa"/>
            <w:vAlign w:val="bottom"/>
            <w:gridSpan w:val="18"/>
          </w:tcPr>
          <w:p>
            <w:pPr>
              <w:spacing w:after="0"/>
              <w:rPr>
                <w:sz w:val="20"/>
                <w:szCs w:val="20"/>
                <w:color w:val="auto"/>
              </w:rPr>
            </w:pPr>
            <w:r>
              <w:rPr>
                <w:rFonts w:ascii="Arial" w:cs="Arial" w:eastAsia="Arial" w:hAnsi="Arial"/>
                <w:sz w:val="18"/>
                <w:szCs w:val="18"/>
                <w:color w:val="auto"/>
              </w:rPr>
              <w:t>The following documents are filed as exhibits to this Registration Statement:</w:t>
            </w:r>
          </w:p>
        </w:tc>
      </w:tr>
      <w:tr>
        <w:trPr>
          <w:trHeight w:val="468"/>
        </w:trPr>
        <w:tc>
          <w:tcPr>
            <w:tcW w:w="6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7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660" w:type="dxa"/>
            <w:vAlign w:val="bottom"/>
            <w:gridSpan w:val="4"/>
          </w:tcPr>
          <w:p>
            <w:pPr>
              <w:spacing w:after="0"/>
              <w:rPr>
                <w:sz w:val="20"/>
                <w:szCs w:val="20"/>
                <w:color w:val="auto"/>
              </w:rPr>
            </w:pPr>
            <w:r>
              <w:rPr>
                <w:rFonts w:ascii="Arial" w:cs="Arial" w:eastAsia="Arial" w:hAnsi="Arial"/>
                <w:sz w:val="18"/>
                <w:szCs w:val="18"/>
                <w:b w:val="1"/>
                <w:bCs w:val="1"/>
                <w:color w:val="auto"/>
                <w:w w:val="94"/>
              </w:rPr>
              <w:t>Number</w:t>
            </w:r>
          </w:p>
        </w:tc>
        <w:tc>
          <w:tcPr>
            <w:tcW w:w="700" w:type="dxa"/>
            <w:vAlign w:val="bottom"/>
          </w:tcPr>
          <w:p>
            <w:pPr>
              <w:spacing w:after="0"/>
              <w:rPr>
                <w:sz w:val="20"/>
                <w:szCs w:val="20"/>
                <w:color w:val="auto"/>
              </w:rPr>
            </w:pPr>
          </w:p>
        </w:tc>
        <w:tc>
          <w:tcPr>
            <w:tcW w:w="9880" w:type="dxa"/>
            <w:vAlign w:val="bottom"/>
            <w:gridSpan w:val="17"/>
          </w:tcPr>
          <w:p>
            <w:pPr>
              <w:ind w:left="4080"/>
              <w:spacing w:after="0"/>
              <w:rPr>
                <w:sz w:val="20"/>
                <w:szCs w:val="20"/>
                <w:color w:val="auto"/>
              </w:rPr>
            </w:pPr>
            <w:r>
              <w:rPr>
                <w:rFonts w:ascii="Arial" w:cs="Arial" w:eastAsia="Arial" w:hAnsi="Arial"/>
                <w:sz w:val="18"/>
                <w:szCs w:val="18"/>
                <w:b w:val="1"/>
                <w:bCs w:val="1"/>
                <w:color w:val="auto"/>
              </w:rPr>
              <w:t>Description of Exhibit</w:t>
            </w:r>
          </w:p>
        </w:tc>
      </w:tr>
      <w:tr>
        <w:trPr>
          <w:trHeight w:val="283"/>
        </w:trPr>
        <w:tc>
          <w:tcPr>
            <w:tcW w:w="240" w:type="dxa"/>
            <w:vAlign w:val="bottom"/>
          </w:tcPr>
          <w:p>
            <w:pPr>
              <w:spacing w:after="0"/>
              <w:rPr>
                <w:rFonts w:ascii="Arial" w:cs="Arial" w:eastAsia="Arial" w:hAnsi="Arial"/>
                <w:sz w:val="18"/>
                <w:szCs w:val="18"/>
                <w:color w:val="0000EE"/>
                <w:w w:val="87"/>
              </w:rPr>
            </w:pPr>
            <w:hyperlink r:id="rId3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0000EE"/>
                <w:w w:val="97"/>
              </w:rPr>
            </w:pPr>
            <w:hyperlink r:id="rId30">
              <w:r>
                <w:rPr>
                  <w:rFonts w:ascii="Arial" w:cs="Arial" w:eastAsia="Arial" w:hAnsi="Arial"/>
                  <w:sz w:val="18"/>
                  <w:szCs w:val="18"/>
                  <w:color w:val="0000EE"/>
                  <w:w w:val="97"/>
                </w:rPr>
                <w:t>Sixth Amended and Restated Certificate of Incorporation of Ocugen, Inc. (incorporated herein by reference to Exhibit 3.1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Company’s Current Report on Form 8-K (File No. 001-36751) filed on December 8, 2014).</w:t>
              </w:r>
            </w:hyperlink>
          </w:p>
        </w:tc>
        <w:tc>
          <w:tcPr>
            <w:tcW w:w="680" w:type="dxa"/>
            <w:vAlign w:val="bottom"/>
            <w:gridSpan w:val="5"/>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320" w:type="dxa"/>
            <w:vAlign w:val="bottom"/>
            <w:gridSpan w:val="2"/>
          </w:tcPr>
          <w:p>
            <w:pPr>
              <w:spacing w:after="0"/>
              <w:rPr>
                <w:rFonts w:ascii="Arial" w:cs="Arial" w:eastAsia="Arial" w:hAnsi="Arial"/>
                <w:sz w:val="18"/>
                <w:szCs w:val="18"/>
                <w:color w:val="0000EE"/>
              </w:rPr>
            </w:pPr>
            <w:hyperlink r:id="rId31">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0000EE"/>
                <w:w w:val="90"/>
              </w:rPr>
            </w:pPr>
            <w:hyperlink r:id="rId31">
              <w:r>
                <w:rPr>
                  <w:rFonts w:ascii="Arial" w:cs="Arial" w:eastAsia="Arial" w:hAnsi="Arial"/>
                  <w:sz w:val="18"/>
                  <w:szCs w:val="18"/>
                  <w:color w:val="0000EE"/>
                  <w:w w:val="90"/>
                </w:rPr>
                <w:t>Amendment to Sixth Amended and Restated Certificate of Incorporation of Ocugen, Inc., dated September 27, 2019 (incorporated herein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by reference to Exhibit 3.1 to the Company’s Current Report on Form 8-K (File No. 001-36751) filed on October 1, 2019).</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320" w:type="dxa"/>
            <w:vAlign w:val="bottom"/>
            <w:gridSpan w:val="2"/>
          </w:tcPr>
          <w:p>
            <w:pPr>
              <w:spacing w:after="0"/>
              <w:rPr>
                <w:rFonts w:ascii="Arial" w:cs="Arial" w:eastAsia="Arial" w:hAnsi="Arial"/>
                <w:sz w:val="18"/>
                <w:szCs w:val="18"/>
                <w:color w:val="0000EE"/>
              </w:rPr>
            </w:pPr>
            <w:hyperlink r:id="rId32">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0000EE"/>
                <w:w w:val="90"/>
              </w:rPr>
            </w:pPr>
            <w:hyperlink r:id="rId32">
              <w:r>
                <w:rPr>
                  <w:rFonts w:ascii="Arial" w:cs="Arial" w:eastAsia="Arial" w:hAnsi="Arial"/>
                  <w:sz w:val="18"/>
                  <w:szCs w:val="18"/>
                  <w:color w:val="0000EE"/>
                  <w:w w:val="90"/>
                </w:rPr>
                <w:t>Amendment to Sixth Amended and Restated Certificate of Incorporation of Ocugen, Inc., dated September 27, 2019 (incorporated herein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by reference to Exhibit 3.2 to the Registrant’s Current Report on Form 8-K (File No. 001-36751) filed on October 1, 2019).</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240" w:type="dxa"/>
            <w:vAlign w:val="bottom"/>
          </w:tcPr>
          <w:p>
            <w:pPr>
              <w:spacing w:after="0"/>
              <w:rPr>
                <w:rFonts w:ascii="Arial" w:cs="Arial" w:eastAsia="Arial" w:hAnsi="Arial"/>
                <w:sz w:val="18"/>
                <w:szCs w:val="18"/>
                <w:color w:val="0000EE"/>
                <w:w w:val="87"/>
              </w:rPr>
            </w:pPr>
            <w:hyperlink r:id="rId3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0000EE"/>
                <w:w w:val="93"/>
              </w:rPr>
            </w:pPr>
            <w:hyperlink r:id="rId33">
              <w:r>
                <w:rPr>
                  <w:rFonts w:ascii="Arial" w:cs="Arial" w:eastAsia="Arial" w:hAnsi="Arial"/>
                  <w:sz w:val="18"/>
                  <w:szCs w:val="18"/>
                  <w:color w:val="0000EE"/>
                  <w:w w:val="93"/>
                </w:rPr>
                <w:t>Amended and Restated Bylaws of Ocugen, Inc. (incorporated herein by reference to Exhibit 3.3 to the Registrant’s Current Report on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Form 8-K (File No. 001-36751) filed on October 1, 2019).</w:t>
              </w:r>
            </w:hyperlink>
          </w:p>
        </w:tc>
        <w:tc>
          <w:tcPr>
            <w:tcW w:w="280" w:type="dxa"/>
            <w:vAlign w:val="bottom"/>
            <w:gridSpan w:val="3"/>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3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5.</w:t>
              </w:r>
              <w:r>
                <w:rPr>
                  <w:rFonts w:ascii="Arial" w:cs="Arial" w:eastAsia="Arial" w:hAnsi="Arial"/>
                  <w:sz w:val="18"/>
                  <w:szCs w:val="18"/>
                  <w:u w:val="single" w:color="auto"/>
                  <w:color w:val="0000EE"/>
                  <w:w w:val="93"/>
                </w:rPr>
                <w:t>1*</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Opinion of Troutman Pepper Hamilton Sanders LLP as to the legality of the securities being registered.</w:t>
              </w:r>
            </w:hyperlink>
          </w:p>
        </w:tc>
        <w:tc>
          <w:tcPr>
            <w:tcW w:w="2440" w:type="dxa"/>
            <w:vAlign w:val="bottom"/>
            <w:gridSpan w:val="9"/>
          </w:tcPr>
          <w:p>
            <w:pPr>
              <w:spacing w:after="0"/>
              <w:rPr>
                <w:sz w:val="24"/>
                <w:szCs w:val="24"/>
                <w:color w:val="auto"/>
              </w:rPr>
            </w:pPr>
          </w:p>
        </w:tc>
      </w:tr>
      <w:tr>
        <w:trPr>
          <w:trHeight w:val="304"/>
        </w:trPr>
        <w:tc>
          <w:tcPr>
            <w:tcW w:w="420" w:type="dxa"/>
            <w:vAlign w:val="bottom"/>
            <w:gridSpan w:val="3"/>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hyperlink>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Consent of Ernst &amp; Young LLP, independent registered public accounting firm for Ocugen, Inc.</w:t>
              </w:r>
            </w:hyperlink>
          </w:p>
        </w:tc>
      </w:tr>
      <w:tr>
        <w:trPr>
          <w:trHeight w:val="304"/>
        </w:trPr>
        <w:tc>
          <w:tcPr>
            <w:tcW w:w="4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hyperlink>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Consent of Troutman Pepper Hamilton Sanders LLP (included in Exhibit 5.1).</w:t>
              </w:r>
            </w:hyperlink>
          </w:p>
        </w:tc>
        <w:tc>
          <w:tcPr>
            <w:tcW w:w="1240" w:type="dxa"/>
            <w:vAlign w:val="bottom"/>
            <w:tcBorders>
              <w:top w:val="single" w:sz="8" w:color="0000EE"/>
            </w:tcBorders>
            <w:gridSpan w:val="3"/>
          </w:tcPr>
          <w:p>
            <w:pPr>
              <w:spacing w:after="0"/>
              <w:rPr>
                <w:sz w:val="24"/>
                <w:szCs w:val="24"/>
                <w:color w:val="auto"/>
              </w:rPr>
            </w:pPr>
          </w:p>
        </w:tc>
        <w:tc>
          <w:tcPr>
            <w:tcW w:w="3000" w:type="dxa"/>
            <w:vAlign w:val="bottom"/>
            <w:gridSpan w:val="10"/>
          </w:tcPr>
          <w:p>
            <w:pPr>
              <w:spacing w:after="0"/>
              <w:rPr>
                <w:sz w:val="24"/>
                <w:szCs w:val="24"/>
                <w:color w:val="auto"/>
              </w:rPr>
            </w:pPr>
          </w:p>
        </w:tc>
      </w:tr>
      <w:tr>
        <w:trPr>
          <w:trHeight w:val="304"/>
        </w:trPr>
        <w:tc>
          <w:tcPr>
            <w:tcW w:w="420" w:type="dxa"/>
            <w:vAlign w:val="bottom"/>
            <w:gridSpan w:val="3"/>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24.</w:t>
              </w:r>
              <w:r>
                <w:rPr>
                  <w:rFonts w:ascii="Arial" w:cs="Arial" w:eastAsia="Arial" w:hAnsi="Arial"/>
                  <w:sz w:val="18"/>
                  <w:szCs w:val="18"/>
                  <w:u w:val="single" w:color="auto"/>
                  <w:color w:val="0000EE"/>
                  <w:w w:val="95"/>
                </w:rPr>
                <w:t>1*</w:t>
              </w:r>
            </w:hyperlink>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Powers of Attorney (included on the signature page of the Registration Statement).</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320" w:type="dxa"/>
            <w:vAlign w:val="bottom"/>
            <w:gridSpan w:val="2"/>
          </w:tcPr>
          <w:p>
            <w:pPr>
              <w:spacing w:after="0"/>
              <w:rPr>
                <w:rFonts w:ascii="Arial" w:cs="Arial" w:eastAsia="Arial" w:hAnsi="Arial"/>
                <w:sz w:val="18"/>
                <w:szCs w:val="18"/>
                <w:color w:val="0000EE"/>
                <w:w w:val="85"/>
              </w:rPr>
            </w:pPr>
            <w:hyperlink r:id="rId3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0000EE"/>
                <w:w w:val="98"/>
              </w:rPr>
            </w:pPr>
            <w:hyperlink r:id="rId34">
              <w:r>
                <w:rPr>
                  <w:rFonts w:ascii="Arial" w:cs="Arial" w:eastAsia="Arial" w:hAnsi="Arial"/>
                  <w:sz w:val="18"/>
                  <w:szCs w:val="18"/>
                  <w:color w:val="0000EE"/>
                  <w:w w:val="98"/>
                </w:rPr>
                <w:t>Ocugen, Inc. 2019 Equity Incentive Plan (filed as Appendix A to the Registrant’s Proxy Statement on Schedule 14A as filed on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1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November 8, 2019, and incorporated herein by reference).</w:t>
              </w:r>
            </w:hyperlink>
          </w:p>
        </w:tc>
        <w:tc>
          <w:tcPr>
            <w:tcW w:w="720" w:type="dxa"/>
            <w:vAlign w:val="bottom"/>
            <w:gridSpan w:val="6"/>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20" w:type="dxa"/>
            <w:vAlign w:val="bottom"/>
            <w:gridSpan w:val="1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3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540" w:type="dxa"/>
            <w:vAlign w:val="bottom"/>
            <w:tcBorders>
              <w:bottom w:val="single" w:sz="8" w:color="0000EE"/>
            </w:tcBorders>
            <w:gridSpan w:val="13"/>
          </w:tcPr>
          <w:p>
            <w:pPr>
              <w:spacing w:after="0"/>
              <w:rPr>
                <w:rFonts w:ascii="Arial" w:cs="Arial" w:eastAsia="Arial" w:hAnsi="Arial"/>
                <w:sz w:val="18"/>
                <w:szCs w:val="18"/>
                <w:color w:val="0000EE"/>
                <w:w w:val="91"/>
              </w:rPr>
            </w:pPr>
            <w:hyperlink r:id="rId35">
              <w:r>
                <w:rPr>
                  <w:rFonts w:ascii="Arial" w:cs="Arial" w:eastAsia="Arial" w:hAnsi="Arial"/>
                  <w:sz w:val="18"/>
                  <w:szCs w:val="18"/>
                  <w:color w:val="0000EE"/>
                  <w:w w:val="91"/>
                </w:rPr>
                <w:t>Form of Incentive Stock Option Agreement under Ocugen, Inc. 2019 Equity Incentive Plan (filed as exhibit 10.29 to the Registrant's</w:t>
              </w:r>
            </w:hyperlink>
          </w:p>
        </w:tc>
        <w:tc>
          <w:tcPr>
            <w:tcW w:w="340" w:type="dxa"/>
            <w:vAlign w:val="bottom"/>
            <w:gridSpan w:val="4"/>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Form 10-K as filed on March 27, 2020, and incorporated herein by reference).</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1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320" w:type="dxa"/>
            <w:vAlign w:val="bottom"/>
            <w:gridSpan w:val="2"/>
          </w:tcPr>
          <w:p>
            <w:pPr>
              <w:spacing w:after="0"/>
              <w:rPr>
                <w:rFonts w:ascii="Arial" w:cs="Arial" w:eastAsia="Arial" w:hAnsi="Arial"/>
                <w:sz w:val="18"/>
                <w:szCs w:val="18"/>
                <w:color w:val="0000EE"/>
                <w:w w:val="85"/>
              </w:rPr>
            </w:pPr>
            <w:hyperlink r:id="rId3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3</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0000EE"/>
                <w:w w:val="92"/>
              </w:rPr>
            </w:pPr>
            <w:hyperlink r:id="rId36">
              <w:r>
                <w:rPr>
                  <w:rFonts w:ascii="Arial" w:cs="Arial" w:eastAsia="Arial" w:hAnsi="Arial"/>
                  <w:sz w:val="18"/>
                  <w:szCs w:val="18"/>
                  <w:color w:val="0000EE"/>
                  <w:w w:val="92"/>
                </w:rPr>
                <w:t>Form of Nonstatutory Stock Option Agreement under Ocugen, Inc. 2019 Equity Incentive Plan (filed as exhibit 10.30 to the Registrant's</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Form 10-K as filed on March 27, 2020, and incorporated herein by reference).</w:t>
              </w:r>
            </w:hyperlink>
          </w:p>
        </w:tc>
        <w:tc>
          <w:tcPr>
            <w:tcW w:w="8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140" w:type="dxa"/>
            <w:vAlign w:val="bottom"/>
            <w:gridSpan w:val="1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37">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4</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760" w:type="dxa"/>
            <w:vAlign w:val="bottom"/>
            <w:tcBorders>
              <w:bottom w:val="single" w:sz="8" w:color="0000EE"/>
            </w:tcBorders>
            <w:gridSpan w:val="15"/>
          </w:tcPr>
          <w:p>
            <w:pPr>
              <w:spacing w:after="0"/>
              <w:rPr>
                <w:rFonts w:ascii="Arial" w:cs="Arial" w:eastAsia="Arial" w:hAnsi="Arial"/>
                <w:sz w:val="18"/>
                <w:szCs w:val="18"/>
                <w:color w:val="0000EE"/>
                <w:w w:val="91"/>
              </w:rPr>
            </w:pPr>
            <w:hyperlink r:id="rId37">
              <w:r>
                <w:rPr>
                  <w:rFonts w:ascii="Arial" w:cs="Arial" w:eastAsia="Arial" w:hAnsi="Arial"/>
                  <w:sz w:val="18"/>
                  <w:szCs w:val="18"/>
                  <w:color w:val="0000EE"/>
                  <w:w w:val="91"/>
                </w:rPr>
                <w:t>Form of Restricted Stock Unit Agreement under Ocugen, Inc. 2019 Equity Incentive Plan (filed as exhibit 10.7 to the Registrant's Form</w:t>
              </w:r>
            </w:hyperlink>
          </w:p>
        </w:tc>
        <w:tc>
          <w:tcPr>
            <w:tcW w:w="12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37">
              <w:r>
                <w:rPr>
                  <w:rFonts w:ascii="Arial" w:cs="Arial" w:eastAsia="Arial" w:hAnsi="Arial"/>
                  <w:sz w:val="18"/>
                  <w:szCs w:val="18"/>
                  <w:color w:val="0000EE"/>
                  <w:w w:val="90"/>
                </w:rPr>
                <w:t>10-K as filed on March 19, 2021, and incorporated herein by reference).</w:t>
              </w:r>
            </w:hyperlink>
          </w:p>
        </w:tc>
        <w:tc>
          <w:tcPr>
            <w:tcW w:w="4680" w:type="dxa"/>
            <w:vAlign w:val="bottom"/>
            <w:gridSpan w:val="15"/>
          </w:tcPr>
          <w:p>
            <w:pPr>
              <w:spacing w:after="0"/>
              <w:rPr>
                <w:sz w:val="17"/>
                <w:szCs w:val="17"/>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right="560" w:firstLine="648"/>
        <w:spacing w:after="0" w:line="277" w:lineRule="auto"/>
        <w:rPr>
          <w:sz w:val="20"/>
          <w:szCs w:val="20"/>
          <w:color w:val="auto"/>
        </w:rPr>
      </w:pPr>
      <w:r>
        <w:rPr>
          <w:rFonts w:ascii="Arial" w:cs="Arial" w:eastAsia="Arial" w:hAnsi="Arial"/>
          <w:sz w:val="17"/>
          <w:szCs w:val="17"/>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Borough of Malvern, Commonwealth of Pennsylvania, on this 22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day of March, 2021.</w:t>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OCUGEN, INC.</w:t>
      </w:r>
    </w:p>
    <w:p>
      <w:pPr>
        <w:spacing w:after="0" w:line="15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Shankar Musunuri</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the undersigned officers and directors of Ocugen, Inc., hereby severally constitute and appoint Shankar Musunuri and Sanjay Subramanian, our true and lawful attorney-in-fact and agent, with full power of substitution and resubstitution in her or him for her or him and in her or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 to all intents and purposes as she or he might or could do in person, hereby ratifying and confirming all that said attorney-in-fact and agent, or her or his substitute or substitutes, may lawfully do or cause to be done by virtue hereof.</w:t>
      </w:r>
    </w:p>
    <w:p>
      <w:pPr>
        <w:spacing w:after="0" w:line="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held on the dates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ind w:left="2340"/>
              <w:spacing w:after="0"/>
              <w:rPr>
                <w:sz w:val="20"/>
                <w:szCs w:val="20"/>
                <w:color w:val="auto"/>
              </w:rPr>
            </w:pPr>
            <w:r>
              <w:rPr>
                <w:rFonts w:ascii="Arial" w:cs="Arial" w:eastAsia="Arial" w:hAnsi="Arial"/>
                <w:sz w:val="18"/>
                <w:szCs w:val="18"/>
                <w:b w:val="1"/>
                <w:bCs w:val="1"/>
                <w:color w:val="auto"/>
              </w:rPr>
              <w:t>Signature</w:t>
            </w:r>
          </w:p>
        </w:tc>
        <w:tc>
          <w:tcPr>
            <w:tcW w:w="4320" w:type="dxa"/>
            <w:vAlign w:val="bottom"/>
          </w:tcPr>
          <w:p>
            <w:pPr>
              <w:ind w:left="2300"/>
              <w:spacing w:after="0"/>
              <w:rPr>
                <w:sz w:val="20"/>
                <w:szCs w:val="20"/>
                <w:color w:val="auto"/>
              </w:rPr>
            </w:pPr>
            <w:r>
              <w:rPr>
                <w:rFonts w:ascii="Arial" w:cs="Arial" w:eastAsia="Arial" w:hAnsi="Arial"/>
                <w:sz w:val="18"/>
                <w:szCs w:val="18"/>
                <w:b w:val="1"/>
                <w:bCs w:val="1"/>
                <w:color w:val="auto"/>
              </w:rPr>
              <w:t>Title</w:t>
            </w:r>
          </w:p>
        </w:tc>
        <w:tc>
          <w:tcPr>
            <w:tcW w:w="1320" w:type="dxa"/>
            <w:vAlign w:val="bottom"/>
          </w:tcPr>
          <w:p>
            <w:pPr>
              <w:jc w:val="center"/>
              <w:ind w:left="51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32"/>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Shankar Musunuri</w:t>
            </w:r>
          </w:p>
        </w:tc>
        <w:tc>
          <w:tcPr>
            <w:tcW w:w="4320" w:type="dxa"/>
            <w:vAlign w:val="bottom"/>
          </w:tcPr>
          <w:p>
            <w:pPr>
              <w:ind w:left="240"/>
              <w:spacing w:after="0"/>
              <w:rPr>
                <w:sz w:val="20"/>
                <w:szCs w:val="20"/>
                <w:color w:val="auto"/>
              </w:rPr>
            </w:pPr>
            <w:r>
              <w:rPr>
                <w:rFonts w:ascii="Arial" w:cs="Arial" w:eastAsia="Arial" w:hAnsi="Arial"/>
                <w:sz w:val="18"/>
                <w:szCs w:val="18"/>
                <w:color w:val="auto"/>
              </w:rPr>
              <w:t>Chairman, Chief Executive Officer and Director</w:t>
            </w: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March 22,</w:t>
            </w:r>
          </w:p>
        </w:tc>
        <w:tc>
          <w:tcPr>
            <w:tcW w:w="0" w:type="dxa"/>
            <w:vAlign w:val="bottom"/>
          </w:tcPr>
          <w:p>
            <w:pPr>
              <w:spacing w:after="0"/>
              <w:rPr>
                <w:sz w:val="1"/>
                <w:szCs w:val="1"/>
                <w:color w:val="auto"/>
              </w:rPr>
            </w:pPr>
          </w:p>
        </w:tc>
      </w:tr>
      <w:tr>
        <w:trPr>
          <w:trHeight w:val="210"/>
        </w:trPr>
        <w:tc>
          <w:tcPr>
            <w:tcW w:w="5400" w:type="dxa"/>
            <w:vAlign w:val="bottom"/>
            <w:vMerge w:val="restart"/>
          </w:tcPr>
          <w:p>
            <w:pPr>
              <w:spacing w:after="0"/>
              <w:rPr>
                <w:sz w:val="20"/>
                <w:szCs w:val="20"/>
                <w:color w:val="auto"/>
              </w:rPr>
            </w:pPr>
            <w:r>
              <w:rPr>
                <w:rFonts w:ascii="Arial" w:cs="Arial" w:eastAsia="Arial" w:hAnsi="Arial"/>
                <w:sz w:val="18"/>
                <w:szCs w:val="18"/>
                <w:color w:val="auto"/>
              </w:rPr>
              <w:t>Shankar Musunuri</w:t>
            </w:r>
          </w:p>
        </w:tc>
        <w:tc>
          <w:tcPr>
            <w:tcW w:w="4320" w:type="dxa"/>
            <w:vAlign w:val="bottom"/>
            <w:vMerge w:val="restart"/>
          </w:tcPr>
          <w:p>
            <w:pPr>
              <w:ind w:left="240"/>
              <w:spacing w:after="0"/>
              <w:rPr>
                <w:sz w:val="20"/>
                <w:szCs w:val="20"/>
                <w:color w:val="auto"/>
              </w:rPr>
            </w:pPr>
            <w:r>
              <w:rPr>
                <w:rFonts w:ascii="Arial" w:cs="Arial" w:eastAsia="Arial" w:hAnsi="Arial"/>
                <w:sz w:val="18"/>
                <w:szCs w:val="18"/>
                <w:color w:val="auto"/>
              </w:rPr>
              <w:t>(Principal Executive Officer)</w:t>
            </w: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02"/>
        </w:trPr>
        <w:tc>
          <w:tcPr>
            <w:tcW w:w="5400" w:type="dxa"/>
            <w:vAlign w:val="bottom"/>
            <w:vMerge w:val="continue"/>
          </w:tcPr>
          <w:p>
            <w:pPr>
              <w:spacing w:after="0"/>
              <w:rPr>
                <w:sz w:val="17"/>
                <w:szCs w:val="17"/>
                <w:color w:val="auto"/>
              </w:rPr>
            </w:pPr>
          </w:p>
        </w:tc>
        <w:tc>
          <w:tcPr>
            <w:tcW w:w="43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Sanjay Subramanian</w:t>
            </w:r>
          </w:p>
        </w:tc>
        <w:tc>
          <w:tcPr>
            <w:tcW w:w="4320" w:type="dxa"/>
            <w:vAlign w:val="bottom"/>
          </w:tcPr>
          <w:p>
            <w:pPr>
              <w:ind w:left="240"/>
              <w:spacing w:after="0"/>
              <w:rPr>
                <w:sz w:val="20"/>
                <w:szCs w:val="20"/>
                <w:color w:val="auto"/>
              </w:rPr>
            </w:pPr>
            <w:r>
              <w:rPr>
                <w:rFonts w:ascii="Arial" w:cs="Arial" w:eastAsia="Arial" w:hAnsi="Arial"/>
                <w:sz w:val="18"/>
                <w:szCs w:val="18"/>
                <w:color w:val="auto"/>
              </w:rPr>
              <w:t>Chief Financial Officer</w:t>
            </w: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March 22,</w:t>
            </w:r>
          </w:p>
        </w:tc>
        <w:tc>
          <w:tcPr>
            <w:tcW w:w="0" w:type="dxa"/>
            <w:vAlign w:val="bottom"/>
          </w:tcPr>
          <w:p>
            <w:pPr>
              <w:spacing w:after="0"/>
              <w:rPr>
                <w:sz w:val="1"/>
                <w:szCs w:val="1"/>
                <w:color w:val="auto"/>
              </w:rPr>
            </w:pPr>
          </w:p>
        </w:tc>
      </w:tr>
      <w:tr>
        <w:trPr>
          <w:trHeight w:val="210"/>
        </w:trPr>
        <w:tc>
          <w:tcPr>
            <w:tcW w:w="5400" w:type="dxa"/>
            <w:vAlign w:val="bottom"/>
            <w:vMerge w:val="restart"/>
          </w:tcPr>
          <w:p>
            <w:pPr>
              <w:spacing w:after="0"/>
              <w:rPr>
                <w:sz w:val="20"/>
                <w:szCs w:val="20"/>
                <w:color w:val="auto"/>
              </w:rPr>
            </w:pPr>
            <w:r>
              <w:rPr>
                <w:rFonts w:ascii="Arial" w:cs="Arial" w:eastAsia="Arial" w:hAnsi="Arial"/>
                <w:sz w:val="18"/>
                <w:szCs w:val="18"/>
                <w:color w:val="auto"/>
              </w:rPr>
              <w:t>Sanjay Subramanian</w:t>
            </w:r>
          </w:p>
        </w:tc>
        <w:tc>
          <w:tcPr>
            <w:tcW w:w="4320" w:type="dxa"/>
            <w:vAlign w:val="bottom"/>
            <w:vMerge w:val="restart"/>
          </w:tcPr>
          <w:p>
            <w:pPr>
              <w:ind w:left="240"/>
              <w:spacing w:after="0"/>
              <w:rPr>
                <w:sz w:val="20"/>
                <w:szCs w:val="20"/>
                <w:color w:val="auto"/>
              </w:rPr>
            </w:pPr>
            <w:r>
              <w:rPr>
                <w:rFonts w:ascii="Arial" w:cs="Arial" w:eastAsia="Arial" w:hAnsi="Arial"/>
                <w:sz w:val="18"/>
                <w:szCs w:val="18"/>
                <w:color w:val="auto"/>
              </w:rPr>
              <w:t>(Principal Financial and Accounting Officer)</w:t>
            </w: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02"/>
        </w:trPr>
        <w:tc>
          <w:tcPr>
            <w:tcW w:w="5400" w:type="dxa"/>
            <w:vAlign w:val="bottom"/>
            <w:vMerge w:val="continue"/>
          </w:tcPr>
          <w:p>
            <w:pPr>
              <w:spacing w:after="0"/>
              <w:rPr>
                <w:sz w:val="17"/>
                <w:szCs w:val="17"/>
                <w:color w:val="auto"/>
              </w:rPr>
            </w:pPr>
          </w:p>
        </w:tc>
        <w:tc>
          <w:tcPr>
            <w:tcW w:w="43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5400" w:type="dxa"/>
            <w:vAlign w:val="bottom"/>
          </w:tcPr>
          <w:p>
            <w:pPr>
              <w:spacing w:after="0"/>
              <w:rPr>
                <w:sz w:val="20"/>
                <w:szCs w:val="20"/>
                <w:color w:val="auto"/>
              </w:rPr>
            </w:pPr>
            <w:r>
              <w:rPr>
                <w:rFonts w:ascii="Arial" w:cs="Arial" w:eastAsia="Arial" w:hAnsi="Arial"/>
                <w:sz w:val="18"/>
                <w:szCs w:val="18"/>
                <w:color w:val="auto"/>
              </w:rPr>
              <w:t>/s/ Kirsten Castillo</w:t>
            </w:r>
          </w:p>
        </w:tc>
        <w:tc>
          <w:tcPr>
            <w:tcW w:w="43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March 22,</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tcPr>
          <w:p>
            <w:pPr>
              <w:spacing w:after="0"/>
              <w:rPr>
                <w:sz w:val="20"/>
                <w:szCs w:val="20"/>
                <w:color w:val="auto"/>
              </w:rPr>
            </w:pPr>
          </w:p>
        </w:tc>
        <w:tc>
          <w:tcPr>
            <w:tcW w:w="4320" w:type="dxa"/>
            <w:vAlign w:val="bottom"/>
          </w:tcPr>
          <w:p>
            <w:pPr>
              <w:spacing w:after="0"/>
              <w:rPr>
                <w:sz w:val="20"/>
                <w:szCs w:val="20"/>
                <w:color w:val="auto"/>
              </w:rPr>
            </w:pP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Kirsten Castillo</w:t>
            </w:r>
          </w:p>
        </w:tc>
        <w:tc>
          <w:tcPr>
            <w:tcW w:w="4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Uday B. Kompella</w:t>
            </w:r>
          </w:p>
        </w:tc>
        <w:tc>
          <w:tcPr>
            <w:tcW w:w="43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March 22,</w:t>
            </w:r>
          </w:p>
        </w:tc>
        <w:tc>
          <w:tcPr>
            <w:tcW w:w="0" w:type="dxa"/>
            <w:vAlign w:val="bottom"/>
          </w:tcPr>
          <w:p>
            <w:pPr>
              <w:spacing w:after="0"/>
              <w:rPr>
                <w:sz w:val="1"/>
                <w:szCs w:val="1"/>
                <w:color w:val="auto"/>
              </w:rPr>
            </w:pPr>
          </w:p>
        </w:tc>
      </w:tr>
      <w:tr>
        <w:trPr>
          <w:trHeight w:val="210"/>
        </w:trPr>
        <w:tc>
          <w:tcPr>
            <w:tcW w:w="5400" w:type="dxa"/>
            <w:vAlign w:val="bottom"/>
            <w:vMerge w:val="restart"/>
          </w:tcPr>
          <w:p>
            <w:pPr>
              <w:spacing w:after="0"/>
              <w:rPr>
                <w:sz w:val="20"/>
                <w:szCs w:val="20"/>
                <w:color w:val="auto"/>
              </w:rPr>
            </w:pPr>
            <w:r>
              <w:rPr>
                <w:rFonts w:ascii="Arial" w:cs="Arial" w:eastAsia="Arial" w:hAnsi="Arial"/>
                <w:sz w:val="18"/>
                <w:szCs w:val="18"/>
                <w:color w:val="auto"/>
              </w:rPr>
              <w:t>Uday B. Kompella</w:t>
            </w:r>
          </w:p>
        </w:tc>
        <w:tc>
          <w:tcPr>
            <w:tcW w:w="4320" w:type="dxa"/>
            <w:vAlign w:val="bottom"/>
          </w:tcPr>
          <w:p>
            <w:pPr>
              <w:spacing w:after="0"/>
              <w:rPr>
                <w:sz w:val="18"/>
                <w:szCs w:val="18"/>
                <w:color w:val="auto"/>
              </w:rPr>
            </w:pP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02"/>
        </w:trPr>
        <w:tc>
          <w:tcPr>
            <w:tcW w:w="5400" w:type="dxa"/>
            <w:vAlign w:val="bottom"/>
            <w:vMerge w:val="continue"/>
          </w:tcPr>
          <w:p>
            <w:pPr>
              <w:spacing w:after="0"/>
              <w:rPr>
                <w:sz w:val="17"/>
                <w:szCs w:val="17"/>
                <w:color w:val="auto"/>
              </w:rPr>
            </w:pPr>
          </w:p>
        </w:tc>
        <w:tc>
          <w:tcPr>
            <w:tcW w:w="4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Ramesh Kumar</w:t>
            </w:r>
          </w:p>
        </w:tc>
        <w:tc>
          <w:tcPr>
            <w:tcW w:w="43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March 22,</w:t>
            </w:r>
          </w:p>
        </w:tc>
        <w:tc>
          <w:tcPr>
            <w:tcW w:w="0" w:type="dxa"/>
            <w:vAlign w:val="bottom"/>
          </w:tcPr>
          <w:p>
            <w:pPr>
              <w:spacing w:after="0"/>
              <w:rPr>
                <w:sz w:val="1"/>
                <w:szCs w:val="1"/>
                <w:color w:val="auto"/>
              </w:rPr>
            </w:pPr>
          </w:p>
        </w:tc>
      </w:tr>
      <w:tr>
        <w:trPr>
          <w:trHeight w:val="210"/>
        </w:trPr>
        <w:tc>
          <w:tcPr>
            <w:tcW w:w="5400" w:type="dxa"/>
            <w:vAlign w:val="bottom"/>
            <w:vMerge w:val="restart"/>
          </w:tcPr>
          <w:p>
            <w:pPr>
              <w:spacing w:after="0"/>
              <w:rPr>
                <w:sz w:val="20"/>
                <w:szCs w:val="20"/>
                <w:color w:val="auto"/>
              </w:rPr>
            </w:pPr>
            <w:r>
              <w:rPr>
                <w:rFonts w:ascii="Arial" w:cs="Arial" w:eastAsia="Arial" w:hAnsi="Arial"/>
                <w:sz w:val="18"/>
                <w:szCs w:val="18"/>
                <w:color w:val="auto"/>
              </w:rPr>
              <w:t>Ramesh Kumar</w:t>
            </w:r>
          </w:p>
        </w:tc>
        <w:tc>
          <w:tcPr>
            <w:tcW w:w="4320" w:type="dxa"/>
            <w:vAlign w:val="bottom"/>
          </w:tcPr>
          <w:p>
            <w:pPr>
              <w:spacing w:after="0"/>
              <w:rPr>
                <w:sz w:val="18"/>
                <w:szCs w:val="18"/>
                <w:color w:val="auto"/>
              </w:rPr>
            </w:pP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02"/>
        </w:trPr>
        <w:tc>
          <w:tcPr>
            <w:tcW w:w="5400" w:type="dxa"/>
            <w:vAlign w:val="bottom"/>
            <w:vMerge w:val="continue"/>
          </w:tcPr>
          <w:p>
            <w:pPr>
              <w:spacing w:after="0"/>
              <w:rPr>
                <w:sz w:val="17"/>
                <w:szCs w:val="17"/>
                <w:color w:val="auto"/>
              </w:rPr>
            </w:pPr>
          </w:p>
        </w:tc>
        <w:tc>
          <w:tcPr>
            <w:tcW w:w="4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Prabhavathi Fernandes</w:t>
            </w:r>
          </w:p>
        </w:tc>
        <w:tc>
          <w:tcPr>
            <w:tcW w:w="43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March 22,</w:t>
            </w:r>
          </w:p>
        </w:tc>
        <w:tc>
          <w:tcPr>
            <w:tcW w:w="0" w:type="dxa"/>
            <w:vAlign w:val="bottom"/>
          </w:tcPr>
          <w:p>
            <w:pPr>
              <w:spacing w:after="0"/>
              <w:rPr>
                <w:sz w:val="1"/>
                <w:szCs w:val="1"/>
                <w:color w:val="auto"/>
              </w:rPr>
            </w:pPr>
          </w:p>
        </w:tc>
      </w:tr>
      <w:tr>
        <w:trPr>
          <w:trHeight w:val="210"/>
        </w:trPr>
        <w:tc>
          <w:tcPr>
            <w:tcW w:w="5400" w:type="dxa"/>
            <w:vAlign w:val="bottom"/>
            <w:vMerge w:val="restart"/>
          </w:tcPr>
          <w:p>
            <w:pPr>
              <w:spacing w:after="0"/>
              <w:rPr>
                <w:sz w:val="20"/>
                <w:szCs w:val="20"/>
                <w:color w:val="auto"/>
              </w:rPr>
            </w:pPr>
            <w:r>
              <w:rPr>
                <w:rFonts w:ascii="Arial" w:cs="Arial" w:eastAsia="Arial" w:hAnsi="Arial"/>
                <w:sz w:val="18"/>
                <w:szCs w:val="18"/>
                <w:color w:val="auto"/>
              </w:rPr>
              <w:t>Prabhavathi Fernandes</w:t>
            </w:r>
          </w:p>
        </w:tc>
        <w:tc>
          <w:tcPr>
            <w:tcW w:w="4320" w:type="dxa"/>
            <w:vAlign w:val="bottom"/>
          </w:tcPr>
          <w:p>
            <w:pPr>
              <w:spacing w:after="0"/>
              <w:rPr>
                <w:sz w:val="18"/>
                <w:szCs w:val="18"/>
                <w:color w:val="auto"/>
              </w:rPr>
            </w:pP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02"/>
        </w:trPr>
        <w:tc>
          <w:tcPr>
            <w:tcW w:w="5400" w:type="dxa"/>
            <w:vAlign w:val="bottom"/>
            <w:vMerge w:val="continue"/>
          </w:tcPr>
          <w:p>
            <w:pPr>
              <w:spacing w:after="0"/>
              <w:rPr>
                <w:sz w:val="17"/>
                <w:szCs w:val="17"/>
                <w:color w:val="auto"/>
              </w:rPr>
            </w:pPr>
          </w:p>
        </w:tc>
        <w:tc>
          <w:tcPr>
            <w:tcW w:w="4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Manish Potti</w:t>
            </w:r>
          </w:p>
        </w:tc>
        <w:tc>
          <w:tcPr>
            <w:tcW w:w="43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March 22,</w:t>
            </w:r>
          </w:p>
        </w:tc>
        <w:tc>
          <w:tcPr>
            <w:tcW w:w="0" w:type="dxa"/>
            <w:vAlign w:val="bottom"/>
          </w:tcPr>
          <w:p>
            <w:pPr>
              <w:spacing w:after="0"/>
              <w:rPr>
                <w:sz w:val="1"/>
                <w:szCs w:val="1"/>
                <w:color w:val="auto"/>
              </w:rPr>
            </w:pPr>
          </w:p>
        </w:tc>
      </w:tr>
      <w:tr>
        <w:trPr>
          <w:trHeight w:val="210"/>
        </w:trPr>
        <w:tc>
          <w:tcPr>
            <w:tcW w:w="5400" w:type="dxa"/>
            <w:vAlign w:val="bottom"/>
            <w:vMerge w:val="restart"/>
          </w:tcPr>
          <w:p>
            <w:pPr>
              <w:spacing w:after="0"/>
              <w:rPr>
                <w:sz w:val="20"/>
                <w:szCs w:val="20"/>
                <w:color w:val="auto"/>
              </w:rPr>
            </w:pPr>
            <w:r>
              <w:rPr>
                <w:rFonts w:ascii="Arial" w:cs="Arial" w:eastAsia="Arial" w:hAnsi="Arial"/>
                <w:sz w:val="18"/>
                <w:szCs w:val="18"/>
                <w:color w:val="auto"/>
              </w:rPr>
              <w:t>Manish Potti</w:t>
            </w:r>
          </w:p>
        </w:tc>
        <w:tc>
          <w:tcPr>
            <w:tcW w:w="4320" w:type="dxa"/>
            <w:vAlign w:val="bottom"/>
          </w:tcPr>
          <w:p>
            <w:pPr>
              <w:spacing w:after="0"/>
              <w:rPr>
                <w:sz w:val="18"/>
                <w:szCs w:val="18"/>
                <w:color w:val="auto"/>
              </w:rPr>
            </w:pP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02"/>
        </w:trPr>
        <w:tc>
          <w:tcPr>
            <w:tcW w:w="5400" w:type="dxa"/>
            <w:vAlign w:val="bottom"/>
            <w:vMerge w:val="continue"/>
          </w:tcPr>
          <w:p>
            <w:pPr>
              <w:spacing w:after="0"/>
              <w:rPr>
                <w:sz w:val="17"/>
                <w:szCs w:val="17"/>
                <w:color w:val="auto"/>
              </w:rPr>
            </w:pPr>
          </w:p>
        </w:tc>
        <w:tc>
          <w:tcPr>
            <w:tcW w:w="4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Suha Taspolatoglu</w:t>
            </w:r>
          </w:p>
        </w:tc>
        <w:tc>
          <w:tcPr>
            <w:tcW w:w="43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March 22,</w:t>
            </w:r>
          </w:p>
        </w:tc>
        <w:tc>
          <w:tcPr>
            <w:tcW w:w="0" w:type="dxa"/>
            <w:vAlign w:val="bottom"/>
          </w:tcPr>
          <w:p>
            <w:pPr>
              <w:spacing w:after="0"/>
              <w:rPr>
                <w:sz w:val="1"/>
                <w:szCs w:val="1"/>
                <w:color w:val="auto"/>
              </w:rPr>
            </w:pPr>
          </w:p>
        </w:tc>
      </w:tr>
      <w:tr>
        <w:trPr>
          <w:trHeight w:val="210"/>
        </w:trPr>
        <w:tc>
          <w:tcPr>
            <w:tcW w:w="5400" w:type="dxa"/>
            <w:vAlign w:val="bottom"/>
            <w:vMerge w:val="restart"/>
          </w:tcPr>
          <w:p>
            <w:pPr>
              <w:spacing w:after="0"/>
              <w:rPr>
                <w:sz w:val="20"/>
                <w:szCs w:val="20"/>
                <w:color w:val="auto"/>
              </w:rPr>
            </w:pPr>
            <w:r>
              <w:rPr>
                <w:rFonts w:ascii="Arial" w:cs="Arial" w:eastAsia="Arial" w:hAnsi="Arial"/>
                <w:sz w:val="18"/>
                <w:szCs w:val="18"/>
                <w:color w:val="auto"/>
              </w:rPr>
              <w:t>Suha Taspolatoglu</w:t>
            </w:r>
          </w:p>
        </w:tc>
        <w:tc>
          <w:tcPr>
            <w:tcW w:w="4320" w:type="dxa"/>
            <w:vAlign w:val="bottom"/>
          </w:tcPr>
          <w:p>
            <w:pPr>
              <w:spacing w:after="0"/>
              <w:rPr>
                <w:sz w:val="18"/>
                <w:szCs w:val="18"/>
                <w:color w:val="auto"/>
              </w:rPr>
            </w:pP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02"/>
        </w:trPr>
        <w:tc>
          <w:tcPr>
            <w:tcW w:w="5400" w:type="dxa"/>
            <w:vAlign w:val="bottom"/>
            <w:vMerge w:val="continue"/>
          </w:tcPr>
          <w:p>
            <w:pPr>
              <w:spacing w:after="0"/>
              <w:rPr>
                <w:sz w:val="17"/>
                <w:szCs w:val="17"/>
                <w:color w:val="auto"/>
              </w:rPr>
            </w:pPr>
          </w:p>
        </w:tc>
        <w:tc>
          <w:tcPr>
            <w:tcW w:w="4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Junge Zhang</w:t>
            </w:r>
          </w:p>
        </w:tc>
        <w:tc>
          <w:tcPr>
            <w:tcW w:w="43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March 22,</w:t>
            </w:r>
          </w:p>
        </w:tc>
        <w:tc>
          <w:tcPr>
            <w:tcW w:w="0" w:type="dxa"/>
            <w:vAlign w:val="bottom"/>
          </w:tcPr>
          <w:p>
            <w:pPr>
              <w:spacing w:after="0"/>
              <w:rPr>
                <w:sz w:val="1"/>
                <w:szCs w:val="1"/>
                <w:color w:val="auto"/>
              </w:rPr>
            </w:pPr>
          </w:p>
        </w:tc>
      </w:tr>
      <w:tr>
        <w:trPr>
          <w:trHeight w:val="210"/>
        </w:trPr>
        <w:tc>
          <w:tcPr>
            <w:tcW w:w="5400" w:type="dxa"/>
            <w:vAlign w:val="bottom"/>
            <w:vMerge w:val="restart"/>
          </w:tcPr>
          <w:p>
            <w:pPr>
              <w:spacing w:after="0"/>
              <w:rPr>
                <w:sz w:val="20"/>
                <w:szCs w:val="20"/>
                <w:color w:val="auto"/>
              </w:rPr>
            </w:pPr>
            <w:r>
              <w:rPr>
                <w:rFonts w:ascii="Arial" w:cs="Arial" w:eastAsia="Arial" w:hAnsi="Arial"/>
                <w:sz w:val="18"/>
                <w:szCs w:val="18"/>
                <w:color w:val="auto"/>
              </w:rPr>
              <w:t>Junge Zhang</w:t>
            </w:r>
          </w:p>
        </w:tc>
        <w:tc>
          <w:tcPr>
            <w:tcW w:w="4320" w:type="dxa"/>
            <w:vAlign w:val="bottom"/>
          </w:tcPr>
          <w:p>
            <w:pPr>
              <w:spacing w:after="0"/>
              <w:rPr>
                <w:sz w:val="18"/>
                <w:szCs w:val="18"/>
                <w:color w:val="auto"/>
              </w:rPr>
            </w:pPr>
          </w:p>
        </w:tc>
        <w:tc>
          <w:tcPr>
            <w:tcW w:w="1320" w:type="dxa"/>
            <w:vAlign w:val="bottom"/>
          </w:tcPr>
          <w:p>
            <w:pPr>
              <w:jc w:val="center"/>
              <w:ind w:left="510"/>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02"/>
        </w:trPr>
        <w:tc>
          <w:tcPr>
            <w:tcW w:w="5400" w:type="dxa"/>
            <w:vAlign w:val="bottom"/>
            <w:vMerge w:val="continue"/>
          </w:tcPr>
          <w:p>
            <w:pPr>
              <w:spacing w:after="0"/>
              <w:rPr>
                <w:sz w:val="17"/>
                <w:szCs w:val="17"/>
                <w:color w:val="auto"/>
              </w:rPr>
            </w:pPr>
          </w:p>
        </w:tc>
        <w:tc>
          <w:tcPr>
            <w:tcW w:w="4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040"/>
          </w:cols>
          <w:pgMar w:left="320" w:top="823" w:right="5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Troutman Pepper Hamilton Sanders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-121920</wp:posOffset>
            </wp:positionV>
            <wp:extent cx="1380490"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1380490" cy="5829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 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March 22,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Ocugen,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263 Great Valley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Malvern, Pennsylvania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Reference is made to the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of Ocugen,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filed on the date hereof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The Registration Statement covers an aggregate of 7,360,475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Company’s Common Stock, par value $0.01 per share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issuable under the Company’s 2019 Equity Incentive Plan (the “</w:t>
      </w:r>
      <w:r>
        <w:rPr>
          <w:rFonts w:ascii="Arial" w:cs="Arial" w:eastAsia="Arial" w:hAnsi="Arial"/>
          <w:sz w:val="16"/>
          <w:szCs w:val="16"/>
          <w:b w:val="1"/>
          <w:bCs w:val="1"/>
          <w:color w:val="auto"/>
        </w:rPr>
        <w:t>2019 Plan</w:t>
      </w:r>
      <w:r>
        <w:rPr>
          <w:rFonts w:ascii="Arial" w:cs="Arial" w:eastAsia="Arial" w:hAnsi="Arial"/>
          <w:sz w:val="16"/>
          <w:szCs w:val="16"/>
          <w:color w:val="auto"/>
        </w:rPr>
        <w:t>”). You have requested that we render the opinion set forth in this letter and we are furnishing this opinion to you pursuant to the requirements of Item 601(b)(5) of Regulation S-K under the Securities Act, in connection with the filing of the Registration Statement. No opinion is expressed herein as to any matter pertaining to the contents of the Registration Statement or the related prospectuses, other than as expressly stated herein with respect to the issuance of the Shares.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purposes of this opinion letter, we have examined the Registration Statement, including the exhibits thereto, the originals or copies, certified or otherwise identified to our satisfaction, of the Sixth Amended and Restated Articles of Incorporation, as amended, and the Amended and Restated Bylaws of the Company, the 2019 Plan and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telecopies). We have also assumed that the Shares, when issued, will not exceed the maximum authorized number of shares of Common Stock under the Company’s Sixth Amended and Restated Certificate of Incorporation, as amended from time to time, minus that number of shares of Common Stock that may have been issued and are outstanding, or are reserved for issuance for other purposes, at such time. As to all matters of fact, we have relied on the representations and statements of fact made in the documents so reviewed, and we have not independently established the facts so relied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Ocugen,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-121920</wp:posOffset>
            </wp:positionV>
            <wp:extent cx="1380490" cy="582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extLst>
                    </a:blip>
                    <a:srcRect/>
                    <a:stretch>
                      <a:fillRect/>
                    </a:stretch>
                  </pic:blipFill>
                  <pic:spPr bwMode="auto">
                    <a:xfrm>
                      <a:off x="0" y="0"/>
                      <a:ext cx="1380490" cy="5829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March 22,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and sold by the Company against in the circumstances contemplated by the 2019 Plan, assuming in each case that the individual issuances, grants or awards under the 2019 Plan are duly authorized by all necessary corporate action and duly issued, granted or awarded and exercised in accordance with the requirements of law and the 2019 Plan (and the agreements and awards duly adopted thereunder and in accordance therewith), the Shares will be legally and validly issued, fully paid and nonassessable.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opining herein as to the General Corporation Law of the State of Delaware, and we express no opinion with respect to the applicability thereto, or the effect thereon, of the laws of any other jurisdiction or any other laws, or as to any matters of municipal law or the laws of any local agencies within any state, and the federal laws of the United States of America.</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opinion letter is given as of the date hereof, and we assume no obligation to supplement this opinion if any applicable law changes after the date hereof or if we become aware of any facts or circumstances that may change the opinions expressed herein after the date hereof. This opinion is for your benefit in connection with the Registration Statement and may be relied upon by you and by persons entitled to rely upon it pursuant to the applicable provisions of the Securities Act.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In rendering this opinion and giving this consent, we do not admit that we are an “expert” within the meaning of the Securities Act or the rules and regulations of the Commission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TROUTMAN PEPPER HAMILTON SANDERS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TROUTMAN PEPPER HAMILTON SANDERS LLP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Ocugen, Inc. 2019 Equity Incentive Plan of our report dated March 19, 2021, with respect to the consolidated financial statements of Ocugen, Inc., included in its Annual Report (Form 10-K) for the year ended December 31, 2020, filed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9" Type="http://schemas.openxmlformats.org/officeDocument/2006/relationships/image" Target="media/image11.png"/><Relationship Id="rId38" Type="http://schemas.openxmlformats.org/officeDocument/2006/relationships/image" Target="media/image12.png"/><Relationship Id="rId39"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jpeg"/><Relationship Id="rId42" Type="http://schemas.openxmlformats.org/officeDocument/2006/relationships/image" Target="media/image16.png"/><Relationship Id="rId43" Type="http://schemas.openxmlformats.org/officeDocument/2006/relationships/image" Target="media/image17.png"/><Relationship Id="rId44" Type="http://schemas.openxmlformats.org/officeDocument/2006/relationships/image" Target="media/image18.jpeg"/><Relationship Id="rId45" Type="http://schemas.openxmlformats.org/officeDocument/2006/relationships/image" Target="media/image19.png"/><Relationship Id="rId46" Type="http://schemas.openxmlformats.org/officeDocument/2006/relationships/image" Target="media/image20.png"/><Relationship Id="rId47" Type="http://schemas.openxmlformats.org/officeDocument/2006/relationships/image" Target="media/image21.png"/><Relationship Id="rId18" Type="http://schemas.openxmlformats.org/officeDocument/2006/relationships/hyperlink" Target="https://www.sec.gov/ix?doc=/Archives/edgar/data/1372299/000162828021005124/ocgn-20201231.htm" TargetMode="External"/><Relationship Id="rId19" Type="http://schemas.openxmlformats.org/officeDocument/2006/relationships/hyperlink" Target="http://www.sec.gov/Archives/edgar/data/1372299/000162828021000304/ocgn-20210108x8k.htm" TargetMode="External"/><Relationship Id="rId20" Type="http://schemas.openxmlformats.org/officeDocument/2006/relationships/hyperlink" Target="http://www.sec.gov/ix?doc=/Archives/edgar/data/1372299/000110465921003347/tm212900d1_8k.htm" TargetMode="External"/><Relationship Id="rId21" Type="http://schemas.openxmlformats.org/officeDocument/2006/relationships/hyperlink" Target="http://www.sec.gov/Archives/edgar/data/1372299/000162828021001458/ocgn-20210202x8k.htm" TargetMode="External"/><Relationship Id="rId22" Type="http://schemas.openxmlformats.org/officeDocument/2006/relationships/hyperlink" Target="http://www.sec.gov/ix?doc=/Archives/edgar/data/1372299/000110465921016781/tm215707d2_8k.htm" TargetMode="External"/><Relationship Id="rId23" Type="http://schemas.openxmlformats.org/officeDocument/2006/relationships/hyperlink" Target="http://www.sec.gov/Archives/edgar/data/1372299/000162828021002739/ocgn-20210223x8k.htm" TargetMode="External"/><Relationship Id="rId24" Type="http://schemas.openxmlformats.org/officeDocument/2006/relationships/hyperlink" Target="http://www.sec.gov/ix?doc=/Archives/edgar/data/1372299/000110465921031198/tm218561d1_8k.htm" TargetMode="External"/><Relationship Id="rId25" Type="http://schemas.openxmlformats.org/officeDocument/2006/relationships/hyperlink" Target="http://www.sec.gov/Archives/edgar/data/1372299/000162828021004062/ocgn-20210305x8k.htm" TargetMode="External"/><Relationship Id="rId26" Type="http://schemas.openxmlformats.org/officeDocument/2006/relationships/hyperlink" Target="http://www.sec.gov/Archives/edgar/data/1372299/000110465921037782/tm2110092d1_8k.htm" TargetMode="External"/><Relationship Id="rId27" Type="http://schemas.openxmlformats.org/officeDocument/2006/relationships/hyperlink" Target="http://www.sec.gov/Archives/edgar/data/1372299/000119312514416483/d822694d8a12b.htm" TargetMode="External"/><Relationship Id="rId28" Type="http://schemas.openxmlformats.org/officeDocument/2006/relationships/hyperlink" Target="https://www.sec.gov/Archives/edgar/data/1372299/000162828021005124/ocgn-20201230x10kxex41.htm" TargetMode="External"/><Relationship Id="rId30" Type="http://schemas.openxmlformats.org/officeDocument/2006/relationships/hyperlink" Target="http://www.sec.gov/Archives/edgar/data/1372299/000119312514436359/d834595dex31.htm" TargetMode="External"/><Relationship Id="rId31" Type="http://schemas.openxmlformats.org/officeDocument/2006/relationships/hyperlink" Target="http://www.sec.gov/Archives/edgar/data/1372299/000110465919052266/a19-19180_3ex3d1.htm" TargetMode="External"/><Relationship Id="rId32" Type="http://schemas.openxmlformats.org/officeDocument/2006/relationships/hyperlink" Target="http://www.sec.gov/Archives/edgar/data/1372299/000110465919052266/a19-19180_3ex3d2.htm" TargetMode="External"/><Relationship Id="rId33" Type="http://schemas.openxmlformats.org/officeDocument/2006/relationships/hyperlink" Target="http://www.sec.gov/Archives/edgar/data/1372299/000110465919052266/a19-19180_3ex3d3.htm" TargetMode="External"/><Relationship Id="rId34" Type="http://schemas.openxmlformats.org/officeDocument/2006/relationships/hyperlink" Target="http://www.sec.gov/Archives/edgar/data/1372299/000110465919061672/a19-22199_1def14a.htm#APPENDIXA_065112" TargetMode="External"/><Relationship Id="rId35" Type="http://schemas.openxmlformats.org/officeDocument/2006/relationships/hyperlink" Target="http://www.sec.gov/Archives/edgar/data/1372299/000162828020004221/ocgn-20191231x10kxex10.htm" TargetMode="External"/><Relationship Id="rId36" Type="http://schemas.openxmlformats.org/officeDocument/2006/relationships/hyperlink" Target="http://www.sec.gov/Archives/edgar/data/1372299/000162828020004221/ocgn-20191231x10kxex101.htm" TargetMode="External"/><Relationship Id="rId37" Type="http://schemas.openxmlformats.org/officeDocument/2006/relationships/hyperlink" Target="https://www.sec.gov/Archives/edgar/data/1372299/000162828021005124/ocgn-20201231x10kx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2021-03-22T07:28:54Z</dcterms:created>
  <dcterms:modified xsi:type="dcterms:W3CDTF">2021-03-22T07:28:54Z</dcterms:modified>
</cp:coreProperties>
</file>