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 (d)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OCUGEN,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40" w:type="dxa"/>
        <w:tblCellMar>
          <w:top w:w="0" w:type="dxa"/>
          <w:left w:w="0" w:type="dxa"/>
          <w:bottom w:w="0" w:type="dxa"/>
          <w:right w:w="0" w:type="dxa"/>
        </w:tblCellMar>
      </w:tblPr>
      <w:tr>
        <w:trPr>
          <w:trHeight w:val="220"/>
        </w:trPr>
        <w:tc>
          <w:tcPr>
            <w:tcW w:w="32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3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001-36751</w:t>
            </w:r>
          </w:p>
        </w:tc>
        <w:tc>
          <w:tcPr>
            <w:tcW w:w="2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04-3522315</w:t>
            </w:r>
          </w:p>
        </w:tc>
      </w:tr>
      <w:tr>
        <w:trPr>
          <w:trHeight w:val="216"/>
        </w:trPr>
        <w:tc>
          <w:tcPr>
            <w:tcW w:w="3280" w:type="dxa"/>
            <w:vAlign w:val="bottom"/>
          </w:tcPr>
          <w:p>
            <w:pPr>
              <w:jc w:val="center"/>
              <w:ind w:right="1050"/>
              <w:spacing w:after="0"/>
              <w:rPr>
                <w:sz w:val="20"/>
                <w:szCs w:val="20"/>
                <w:color w:val="auto"/>
              </w:rPr>
            </w:pPr>
            <w:r>
              <w:rPr>
                <w:rFonts w:ascii="Arial" w:cs="Arial" w:eastAsia="Arial" w:hAnsi="Arial"/>
                <w:sz w:val="18"/>
                <w:szCs w:val="18"/>
                <w:color w:val="auto"/>
                <w:w w:val="91"/>
              </w:rPr>
              <w:t>(State or Other Jurisdiction of</w:t>
            </w:r>
          </w:p>
        </w:tc>
        <w:tc>
          <w:tcPr>
            <w:tcW w:w="3340" w:type="dxa"/>
            <w:vAlign w:val="bottom"/>
          </w:tcPr>
          <w:p>
            <w:pPr>
              <w:jc w:val="center"/>
              <w:ind w:right="10"/>
              <w:spacing w:after="0"/>
              <w:rPr>
                <w:sz w:val="20"/>
                <w:szCs w:val="20"/>
                <w:color w:val="auto"/>
              </w:rPr>
            </w:pPr>
            <w:r>
              <w:rPr>
                <w:rFonts w:ascii="Arial" w:cs="Arial" w:eastAsia="Arial" w:hAnsi="Arial"/>
                <w:sz w:val="18"/>
                <w:szCs w:val="18"/>
                <w:color w:val="auto"/>
                <w:w w:val="91"/>
              </w:rPr>
              <w:t>(Commission</w:t>
            </w:r>
          </w:p>
        </w:tc>
        <w:tc>
          <w:tcPr>
            <w:tcW w:w="292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3280" w:type="dxa"/>
            <w:vAlign w:val="bottom"/>
          </w:tcPr>
          <w:p>
            <w:pPr>
              <w:jc w:val="center"/>
              <w:ind w:right="1050"/>
              <w:spacing w:after="0"/>
              <w:rPr>
                <w:sz w:val="20"/>
                <w:szCs w:val="20"/>
                <w:color w:val="auto"/>
              </w:rPr>
            </w:pPr>
            <w:r>
              <w:rPr>
                <w:rFonts w:ascii="Arial" w:cs="Arial" w:eastAsia="Arial" w:hAnsi="Arial"/>
                <w:sz w:val="18"/>
                <w:szCs w:val="18"/>
                <w:color w:val="auto"/>
                <w:w w:val="91"/>
              </w:rPr>
              <w:t>Incorporation)</w:t>
            </w:r>
          </w:p>
        </w:tc>
        <w:tc>
          <w:tcPr>
            <w:tcW w:w="3340" w:type="dxa"/>
            <w:vAlign w:val="bottom"/>
          </w:tcPr>
          <w:p>
            <w:pPr>
              <w:jc w:val="center"/>
              <w:ind w:right="10"/>
              <w:spacing w:after="0"/>
              <w:rPr>
                <w:sz w:val="20"/>
                <w:szCs w:val="20"/>
                <w:color w:val="auto"/>
              </w:rPr>
            </w:pPr>
            <w:r>
              <w:rPr>
                <w:rFonts w:ascii="Arial" w:cs="Arial" w:eastAsia="Arial" w:hAnsi="Arial"/>
                <w:sz w:val="18"/>
                <w:szCs w:val="18"/>
                <w:color w:val="auto"/>
                <w:w w:val="92"/>
              </w:rPr>
              <w:t>File Number)</w:t>
            </w:r>
          </w:p>
        </w:tc>
        <w:tc>
          <w:tcPr>
            <w:tcW w:w="2920" w:type="dxa"/>
            <w:vAlign w:val="bottom"/>
          </w:tcPr>
          <w:p>
            <w:pPr>
              <w:jc w:val="center"/>
              <w:ind w:left="117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263 Great Valley Parkway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Malvern, Pennsylvania 19355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(484) 328-4701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$0.01 par value per share</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OCGN</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7, 2021, Ocugen,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Securities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certain purchasers named therein (the “</w:t>
      </w:r>
      <w:r>
        <w:rPr>
          <w:rFonts w:ascii="Arial" w:cs="Arial" w:eastAsia="Arial" w:hAnsi="Arial"/>
          <w:sz w:val="16"/>
          <w:szCs w:val="16"/>
          <w:u w:val="single" w:color="auto"/>
          <w:color w:val="auto"/>
        </w:rPr>
        <w:t>Purchasers</w:t>
      </w:r>
      <w:r>
        <w:rPr>
          <w:rFonts w:ascii="Arial" w:cs="Arial" w:eastAsia="Arial" w:hAnsi="Arial"/>
          <w:sz w:val="16"/>
          <w:szCs w:val="16"/>
          <w:color w:val="auto"/>
        </w:rPr>
        <w:t>”), pursuant to which the Company agreed to issue and sell, in a registered direct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3,000,000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an offering price of $7.65 per share.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Purchasers and customary indemnification rights and obligations of the parties. The closing of the Offering is expected to occur on February 10, 2021, subject to customary closing conditions. The Company is expected to receive gross proceeds of approximately $23.0 million in connection with the Offering, before deducting placement agent fees and related offering expenses.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compensation to H.C. Wainwright &amp; Co., LLC (the “</w:t>
      </w:r>
      <w:r>
        <w:rPr>
          <w:rFonts w:ascii="Arial" w:cs="Arial" w:eastAsia="Arial" w:hAnsi="Arial"/>
          <w:sz w:val="17"/>
          <w:szCs w:val="17"/>
          <w:u w:val="single" w:color="auto"/>
          <w:color w:val="auto"/>
        </w:rPr>
        <w:t>Placement Agent</w:t>
      </w:r>
      <w:r>
        <w:rPr>
          <w:rFonts w:ascii="Arial" w:cs="Arial" w:eastAsia="Arial" w:hAnsi="Arial"/>
          <w:sz w:val="17"/>
          <w:szCs w:val="17"/>
          <w:color w:val="auto"/>
        </w:rPr>
        <w:t>”) as placement agent in connection with the Offering, the Company agreed to pay to the Placement Agent a cash fee of 7.0% of the aggregate gross proceeds raised in the Offering, plus reimbursement of certain expenses.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Purchase Agreement does not purport to be complete and is subject to, and qualified in its entirety by, the form of such document attached as Exhibit 10.1 to this Current Report on Form 8-K (the “</w:t>
      </w:r>
      <w:r>
        <w:rPr>
          <w:rFonts w:ascii="Arial" w:cs="Arial" w:eastAsia="Arial" w:hAnsi="Arial"/>
          <w:sz w:val="18"/>
          <w:szCs w:val="18"/>
          <w:u w:val="single" w:color="auto"/>
          <w:color w:val="auto"/>
        </w:rPr>
        <w:t>Report</w:t>
      </w:r>
      <w:r>
        <w:rPr>
          <w:rFonts w:ascii="Arial" w:cs="Arial" w:eastAsia="Arial" w:hAnsi="Arial"/>
          <w:sz w:val="18"/>
          <w:szCs w:val="18"/>
          <w:color w:val="auto"/>
        </w:rPr>
        <w:t>”), which is incorporated herein by reference.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Shares in the Offering were offered by the Company pursuant to a registration statement on Form S-3 (File No. 333-237456), which was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March 27, 2020, and was declared effective by the Commission on May 5, 2020. A copy of the opinion of Troutman Pepper Hamilton Sanders LLP relating to the legality of the issuance and sale of the Shares in the Offering is attached as Exhibit 5.1 hereto. This Report shall not constitute an offer to sell or the solicitation of an offer to buy the Shares, nor shall there be any sale of the Shares in any state in which such offer, solicitation or sale would be unlawful prior to registration or qualification under the securities laws of any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Updated Risk Factors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Offering, the Company has also supplemented its risk factor disclosure contained in the Company’s prior filings with the Commission, including those discussed in the Company’s most recent Annual Report on Form 10-K, as amended, for the fiscal year ended December 31, 2019, filed with the Commission on March 27, 2020, as supplemented by the Company’s subsequent filings with the Commission. The additional risk factors are set forth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Development of COVAXIN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COVAXIN, the COVID-19 vaccine candidate that is the subject of our co-development and license agreement with Bharat Biotech, is being evaluated by Bharat Biotech in Phase 3 clinical trials in India and the regulatory path in the United States is currently being evaluated. We may be unable to successfully produce and commercialize a vaccine that effectively and safely treats the virus in a timely manner, if at all, and ultimately may be unable to obtain emergency use authorization or regulatory approval in the United States.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2021, we entered into a co-development and license agreement, or the COVAXIN Agreement, with Bharat Biotech International Ltd., or Bharat Biotech, pursuant to which we obtained an exclusive right and license under certain of Bharat Biotech’s intellectual property rights, with the right to grant sublicenses, to develop, manufacture and commercialize COVAXIN, a whole-virion inactivated COVID-19 vaccine candidate, in the United States of America, its territories and possessions. COVAXIN has received an approval for emergency restricted use in India following receipt of data from the Phase 1 and Phase 2 clinical trials in India. A Phase 3 study is currently ongoing in India and interim data is expected to be released in March 2021. Notwithstanding receipt of the approval for emergency restricted use in India, Bharat Biotech’s development efforts in India are in the early stages and remain subject to ongoing clinical trials. Bharat Biotech may be unable to develop or produce a vaccine that successfully vaccinates against the SARS-CoV-2 virus or emerging variants of the virus, including the variants that have emerged in South Africa or the United Kingdom. Moreover, subjects receiving COVAXIN in Bharat Biotech’s clinical trials, as well as patients receiving the vaccine under the emergency restricted use approval in India, may experience allergic reactions or other adverse events, which could adversely impact on the U.S. market’s perception of the vaccine. Any of these events could materially impair our ability to develop COVAXIN in the United States.</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development efforts with respect to the U.S. market are in their initial stages, and we may be unable to obtain authorization or approval of COVAXIN in the United States, in a timely manner, if at all. There have been limited discussions with FDA to date and no Emergency Use Authorization, or EUA, Application or Investigational New Drug, or IND, Application has been submitted. The FDA may determine that the studies conducted in India were not done in compliance with FDA regulations, including Good Clinical Practice, or GCP, regulations. For this and other reasons, the FDA may not accept data from the studies conducted with COVAXIN at clinical trial sites in India and may require us to conduct clinical studies in the United States before considering an application for an EUA in the United States. Even if we conduct clinical trials in the United States, we may not be successful in obtaining an EUA from the FDA if our development efforts were to result in findings relating to a lack of efficacy, safety concerns or other issues. Our inability to obtain an EUA from the FDA could materially and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t>As an organization, we have no experience in the development, manufacturing, distribution or commercialization of a vaccine candidate.</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never undertaken the development, manufacturing, distribution or commercialization of a vaccine candidate, and we may be unable to obtain regulatory authorization or approval in the United States. Additionally, development of an effective vaccine candidate depends on the success of our and our partner’s manufacturing capabilities. We have not previously ramped our organization for a commercial launch of any product, and doing so in a pandemic environment with an urgent, critical global need creates additional challenges such as clinical trials, licensing, distribution channels, intellectual property disputes or challenges, and the need to establish teams of people with the relevant skills. We may also face challenges with sourcing a sufficient amount of raw materials to support the demand for a vaccine, including any potential import issues. We may be unable to effectively create a supply chain for COVAXIN that will adequately support demand. Furthermore, there are no assurances that any vaccine candidate would be approved or authorized by the FDA at all or for inclusion in government stockpile programs, which may be material to the commercial success of a vaccine product candidate, in the United States.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regulatory pathway for COVID-19 vaccine candidates, including COVAXIN, is continually evolving, and may result in unexpected or unforeseen challenges.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COVAXIN has moved rapidly through the regulatory review process for emergency restricted use in India. We cannot predict the speed at which we will be able to obtain authorization or approval of COVAXIN in the United States, if at all. Evolving or changing plans or priorities at the FDA, including changes based on new knowledge of COVID-19 and how the disease affects the human body, may significantly affect the regulatory pathway and timeline for COVAXIN authorization or approval in the United States. The FDA may not accept data from the studies conducted with COVAXIN at clinical trial sites in India and may require additional clinical trials. Any results from further clinical testing may raise new questions and require us to redesign proposed clinical trials, including revising proposed endpoints or adding new clinical trial sites or cohorts of subjects. In addition, the FDA’s analysis of any clinical data may differ from our interpretation and the FDA may require that we conduct additional analysis or trials. Further, the ongoing Phase 3 trial in India may demonstrate that the vaccine candidate is ineffective or has an unacceptable safety profile.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FDA has the authority to grant an EUA to allow unapproved medical products to be used in an emergency to diagnose, treat, or prevent serious or life-threatening diseases or conditions when there are no adequate, approved, and available alternatives. If we are granted an EUA by the FDA for COVAXIN, we would be able to commercialize it without FDA approval. However, the FDA may revoke the EUA where it is determined that the COVID-19 public health emergency no longer exists or warrants such authorization, and we cannot predict how long, if ever, an EUA would remain in place. Such revocation could adversely impact our business in a variety of ways, including if COVAXIN is not yet approved by the FDA and if we, Bharat Biotech and our manufacturing partners have invested in the supply chain to provide COVAXIN under an EUA in the United States. In addition, the FDA may revoke or terminate the EUA sooner if, for example, we fail to comply with the conditions of authorization or other terms of the EUA or if COVAXIN is determined to be less effective or safe than it was initially believed to be. We cannot predict how long, if ever, an EUA would remain in place.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produce a successful vaccine may be curtailed by one or more government actions or interventions, which may be more likely during a global health crisis such as COVID-19.</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Given the significant global impact of the COVID-19 pandemic, it is possible that the U.S. government may take actions that directly or indirectly have the effect of diminishing some of our rights or opportunities with respect to COVAXIN and the economic value of a COVID-19 vaccine to us could be limited. In the United States, the Defense Production Act of 1950, as amended, or the Defense Production Act, gives the United States government rights and authorities that may directly or indirectly diminish our own rights or opportunities with respect to COVAXIN and the economic value of a COVID-19 vaccine to us could be limited. Our potential third-party service providers may be impacted by government entities regarding potentially invoking the Defense Production Act or other potential restrictions to all or a portion of services they might otherwise offer. Government entities imposing restrictions or limitations on our third-party service providers may require us to obtain alternative service sources for our vaccine candidate, including COVAXIN. If we are unable to timely enter into alternative arrangements, or if such alternative arrangements are not available on satisfactory terms, we will experience delays in the development or production of our vaccine candidate, increased expenses, and delays in potential distribution or commercialization of our vaccine candidate, when and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order to enable us to successfully develop COVAXIN, and such funding may not be available on acceptable terms, or at all.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need additional funding in order to enable us to successfully develop and obtain FDA authorization or approval and have sufficient capacity to manufacture, commercialize and distribute COVAXIN, if authorized or approved by the FDA. Such funding may not be available on acceptable terms, or at all. Our commitment of substantial financial resources and personnel to the joint development of a vaccine candidate may cause delays in or otherwise negatively impact our other development programs, despite uncertainties surrounding the longevity and extent of COVID-19 as a global health concern. Our business could be negatively impacted by our allocation of significant resources to a global health threat that is unpredictable and could rapidly dissipate.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encounter difficulties in obtaining adequate supply of COVAXIN from Bharat Biotech or third-party manufacturers, our ability to develop and commercialize COVAXIN, if authorized or approved, would be impaired.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currently have the capacity to manufacture COVAXIN, and we do not currently plan to develop any capacity to do so. Bharat Biotech has agreed to provide to Ocugen all preclinical and clinical data, and to transfer to us certain proprietary technology owned or controlled by Bharat Biotech, that are necessary for the successful commercial manufacture and supply of COVAXIN to support commercial sale in the United States, if authorized or approved, including pursuant to an EUA. Until the completion of that technology transfer and until we are capable and primarily responsible for the manufacture and supply of COVAXIN in the United States through third parties, Bharat Biotech has the exclusive right to manufacture COVAXIN and we will be wholly dependent on Bharat Biotech for the manufacture and supply of clinical testing materials required for our development activities and all of our requirements of commercial quantities of COVAXIN, if authorized or approved. We and Bharat Biotech intend to enter into supply agreements setting forth the terms of such supply arrangement, but can be no assurance that we will be able to successfully enter into such agreements. Bharat Biotech has agreed to provide a specified minimum number of doses in calendar year 2021, but there can be no assurance that they will in fact provide such number of doses, whether due to shortages in supply, diversion of vaccine resources to other uses deemed more immediate, or other factors. There can be no assurance that we will be successful in transitioning the manufacture of COVAXIN for the U.S. market from Bharat Biotech to a third-party manufacturer. If we are unable to obtain adequate supply of COVAXIN, our U.S. development and commercialization efforts would be impaired. As a result, our business, financial condition and results of operations would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development and commercialization of new vaccines is highly competitive. The competitive landscape of potential COVID-19 vaccines and treatment therapies has been rapidly developing since the beginning of the COVID-19 pandemic, with several hundreds of companies claiming to be investigating possible candidates and more than 4,500 studies registered worldwide as investigating COVID-19. We are aware of several competitors developing late-stage COVID-19 vaccines, including Pfizer Inc. with BioNTech SE, Moderna, Inc., AstraZeneca PLC, Johnson &amp; Johnson/Janssen Biotech, Inc. and Novavax, Inc. Vaccines developed by Pfizer Inc. with BioNTech SE and Moderna, Inc. have already been granted EUAs by the FDA. We are also aware of others pharmaceutical companies that are working on inactivated virus-based COVID-19 vaccines. If the FDA requires us to conduct clinical trials, enrollment in such trials may be impacted given the commercial availability of other EUA-authorized vaccines. The success or failure of other vaccines, or perceived success or failure, may adversely impact our ability to obtain any future funding for our joint COVID-19 vaccine development efforts or for us to ultimately commercialize any vaccine candidate, if authorized or approved by the FDA. In addition, we may not be able to compete effectively if our product candidate does not satisfy government procurement requirements with respect to biodefense products. If existing vaccines in the market or if competitors develop and commercialize additional COVID-19 vaccines before we can complete regulatory review and obtain an EUA or regulatory approval for COVAXIN, or if they develop and commercialize one or more COVID-19 vaccines that are safer, more effective, have fewer or less severe side effects, have broader market acceptance, are more convenient or are less expensive than COVAXIN, our business, financial condition and results of operations would be materially adversely affected.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successful in maintaining our co-development relationship with Bharat Biotech, which would adversely affect our ability to develop and commercialize COVAXIN.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licensed the rights to develop COVAXIN in the United States from Bharat Biotech. Our co-development efforts began recently. The success of this licensing and co-development arrangement will depend heavily on the efforts and activities of Bharat Biotech. Other than as specifically set forth in the COVAXIN Agreement, we will have limited control over the amount and timing of resources that Bharat Biotech dedicates to the co-development of and manufacture of supply for COVAXIN in the U.S. market. We also have limited or no control over Bharat Biotech’s activities with respect to COVAXIN in India. If Bharat Biotech were to fail to successfully complete the ongoing Phase 3 clinical trial of COVAXIN, or were to fail to report safety data in accordance with regulatory requirements, our ability to develop COVAXIN in the United States would be impaired. Moreover, any disagreements between us and Bharat Biotech could lead to delays in the development process or manufacturing of COVAXIN, and such delays may impair our ability to obtain an EUA or approval for COVAXIN. Under certain circumstances, disagreements with Bharat Biotech could also lead to termination of the COVAXIN Agreement. Any such termination would prevent us from developing COVAXIN for the U.S.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0300" w:type="dxa"/>
            <w:vAlign w:val="bottom"/>
          </w:tcPr>
          <w:p>
            <w:pPr>
              <w:spacing w:after="0"/>
              <w:rPr>
                <w:sz w:val="18"/>
                <w:szCs w:val="18"/>
                <w:color w:val="auto"/>
              </w:rPr>
            </w:pPr>
          </w:p>
        </w:tc>
      </w:tr>
      <w:tr>
        <w:trPr>
          <w:trHeight w:val="220"/>
        </w:trPr>
        <w:tc>
          <w:tcPr>
            <w:tcW w:w="940" w:type="dxa"/>
            <w:vAlign w:val="bottom"/>
          </w:tcPr>
          <w:p>
            <w:pPr>
              <w:ind w:left="320"/>
              <w:spacing w:after="0"/>
              <w:rPr>
                <w:sz w:val="20"/>
                <w:szCs w:val="20"/>
                <w:color w:val="auto"/>
              </w:rPr>
            </w:pPr>
            <w:r>
              <w:rPr>
                <w:rFonts w:ascii="Arial" w:cs="Arial" w:eastAsia="Arial" w:hAnsi="Arial"/>
                <w:sz w:val="18"/>
                <w:szCs w:val="18"/>
                <w:b w:val="1"/>
                <w:bCs w:val="1"/>
                <w:color w:val="auto"/>
              </w:rPr>
              <w:t>No.</w:t>
            </w:r>
          </w:p>
        </w:tc>
        <w:tc>
          <w:tcPr>
            <w:tcW w:w="10300" w:type="dxa"/>
            <w:vAlign w:val="bottom"/>
          </w:tcPr>
          <w:p>
            <w:pPr>
              <w:ind w:left="4860"/>
              <w:spacing w:after="0"/>
              <w:rPr>
                <w:sz w:val="20"/>
                <w:szCs w:val="20"/>
                <w:color w:val="auto"/>
              </w:rPr>
            </w:pPr>
            <w:r>
              <w:rPr>
                <w:rFonts w:ascii="Arial" w:cs="Arial" w:eastAsia="Arial" w:hAnsi="Arial"/>
                <w:sz w:val="18"/>
                <w:szCs w:val="18"/>
                <w:b w:val="1"/>
                <w:bCs w:val="1"/>
                <w:color w:val="auto"/>
              </w:rPr>
              <w:t>Document</w:t>
            </w:r>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5.1</w:t>
              </w:r>
            </w:hyperlink>
          </w:p>
        </w:tc>
        <w:tc>
          <w:tcPr>
            <w:tcW w:w="10300" w:type="dxa"/>
            <w:vAlign w:val="bottom"/>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Opinion of Troutman Pepper Hamilton Sanders LLP.</w:t>
              </w:r>
            </w:hyperlink>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10.1</w:t>
              </w:r>
            </w:hyperlink>
          </w:p>
        </w:tc>
        <w:tc>
          <w:tcPr>
            <w:tcW w:w="10300" w:type="dxa"/>
            <w:vAlign w:val="bottom"/>
          </w:tcPr>
          <w:p>
            <w:pPr>
              <w:ind w:left="2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Form of Securities Purchase Agreement.</w:t>
              </w:r>
            </w:hyperlink>
          </w:p>
        </w:tc>
      </w:tr>
      <w:tr>
        <w:trPr>
          <w:trHeight w:val="216"/>
        </w:trPr>
        <w:tc>
          <w:tcPr>
            <w:tcW w:w="9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23.1</w:t>
              </w:r>
            </w:hyperlink>
          </w:p>
        </w:tc>
        <w:tc>
          <w:tcPr>
            <w:tcW w:w="10300" w:type="dxa"/>
            <w:vAlign w:val="bottom"/>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Troutman Pepper Hamilton Sanders LLP (included in Exhibit 5.1).</w:t>
              </w:r>
            </w:hyperlink>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300" w:type="dxa"/>
            <w:vAlign w:val="bottom"/>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OCUGEN,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Shankar Musunuri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-121920</wp:posOffset>
            </wp:positionV>
            <wp:extent cx="1183005"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5486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 Eighteenth and Arch Streets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February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Ocugen,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263 Great Valley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acting as counsel to Ocugen,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public offering of 3,000,000 shares of the common stock, par value $0.01 per share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to be sold by the Company pursuant to a prospectus supplement, dated February 7, 2021, and the accompanying base prospectus, dated May 5, 2020 (such documents, collectively, the “</w:t>
      </w:r>
      <w:r>
        <w:rPr>
          <w:rFonts w:ascii="Arial" w:cs="Arial" w:eastAsia="Arial" w:hAnsi="Arial"/>
          <w:sz w:val="18"/>
          <w:szCs w:val="18"/>
          <w:b w:val="1"/>
          <w:bCs w:val="1"/>
          <w:color w:val="auto"/>
        </w:rPr>
        <w:t>Prospectus</w:t>
      </w:r>
      <w:r>
        <w:rPr>
          <w:rFonts w:ascii="Arial" w:cs="Arial" w:eastAsia="Arial" w:hAnsi="Arial"/>
          <w:sz w:val="18"/>
          <w:szCs w:val="18"/>
          <w:color w:val="auto"/>
        </w:rPr>
        <w:t>”) that form part of the Company’s effective registration statement on Form S-3 (File No. 333-237456)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This opinion letter is furnished to you at your request to enable you to fulfill the requirements of Item 601(b)(5) of Regulation S-K, 17 C.F.R. § 229.601(b)(5), in connection with the Registration Statement.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this opinion letter, we have examined copies of such agreements, instruments and documents as we have deemed an appropriate basis on which to render the opinion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opinion letter is based as to matters of law solely on the General Corporation Law of the State of Delaware, as amended. We express no opinion herein as to any other statutes, rules or regulations.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Based upon, subject to and limited by the foregoing, we are of the opinion that as of the date hereof following (i) execution and delivery by the Company of the Securities Purchase Agreement, dated February 7, 2021, by and among the Company and certain investors named therein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ind w:left="280" w:hanging="272"/>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issuance of the Shares pursuant to the terms of the Agreement and the due registration on the books of the transfer agent and registrar therefor, and</w:t>
      </w:r>
    </w:p>
    <w:p>
      <w:pPr>
        <w:spacing w:after="0" w:line="32" w:lineRule="exact"/>
        <w:rPr>
          <w:rFonts w:ascii="Arial" w:cs="Arial" w:eastAsia="Arial" w:hAnsi="Arial"/>
          <w:sz w:val="16"/>
          <w:szCs w:val="16"/>
          <w:color w:val="auto"/>
        </w:rPr>
      </w:pPr>
    </w:p>
    <w:p>
      <w:pPr>
        <w:ind w:firstLine="8"/>
        <w:spacing w:after="0" w:line="260" w:lineRule="auto"/>
        <w:tabs>
          <w:tab w:leader="none" w:pos="323"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receipt by the Company of the consideration for the Shares (not less than par value) in the circumstances contemplated by the Agreement,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6097270</wp:posOffset>
            </wp:positionH>
            <wp:positionV relativeFrom="page">
              <wp:posOffset>586105</wp:posOffset>
            </wp:positionV>
            <wp:extent cx="118300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83005" cy="548640"/>
                    </a:xfrm>
                    <a:prstGeom prst="rect">
                      <a:avLst/>
                    </a:prstGeom>
                    <a:noFill/>
                  </pic:spPr>
                </pic:pic>
              </a:graphicData>
            </a:graphic>
          </wp:anchor>
        </w:drawing>
        <w:t>Ocugen,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098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opinion letter has been prepared for use in connection with the filing by the Company of a Current Report on Form 8-K relating to the offer and sale of the Shares, which Form 8-K will be incorporated by reference into the Registration Statement and Prospectus, and speaks as of the date hereof. We assume no obligation to advise you of any changes in the foregoing subsequent to the delivery of this letter.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letter as Exhibit 5.1 to the above-described Form 8-K and to the reference to this firm under the caption “Legal Matters” in the Prospectus. In giving this consent, we do not thereby admit that we are an “expert” within the meaning of the Securities Act of 1933,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TROUTMAN PEPPER HAMILTON SANDERS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February 7, 2021, between Ocugen,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 Market Issuance Sales Agreement</w:t>
      </w:r>
      <w:r>
        <w:rPr>
          <w:rFonts w:ascii="Arial" w:cs="Arial" w:eastAsia="Arial" w:hAnsi="Arial"/>
          <w:sz w:val="18"/>
          <w:szCs w:val="18"/>
          <w:color w:val="auto"/>
        </w:rPr>
        <w:t>” means that certain At Market Issuance Sales Agreement dated August 14, 2020 by and between the Company and Cantor Fitzgerald &amp; Co. and Oppenheimer &amp; Co. Inc., as in effect on the date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spacing w:after="0" w:line="209" w:lineRule="auto"/>
        <w:rPr>
          <w:sz w:val="20"/>
          <w:szCs w:val="20"/>
          <w:color w:val="auto"/>
        </w:rPr>
      </w:pPr>
      <w:r>
        <w:rPr>
          <w:rFonts w:ascii="Arial" w:cs="Arial" w:eastAsia="Arial" w:hAnsi="Arial"/>
          <w:sz w:val="18"/>
          <w:szCs w:val="18"/>
          <w:color w:val="auto"/>
        </w:rPr>
        <w:t>to deliver the Shares, in each case, have been satisfied or waived, but in no event later than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hereof.</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Troutman Pepper Hamilton Sanders LLP, with offices located at 3000 Two Logan Square, Eighteenth and Arch Streets, Philadelphia, PA 19103.</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Issuance</w:t>
      </w:r>
      <w:r>
        <w:rPr>
          <w:rFonts w:ascii="Arial" w:cs="Arial" w:eastAsia="Arial" w:hAnsi="Arial"/>
          <w:sz w:val="18"/>
          <w:szCs w:val="18"/>
          <w:color w:val="auto"/>
        </w:rPr>
        <w:t>” means the issuance of (a) securities to directors, officers, employees and consultants of the Company pursuant to employee benefit plans, equity incentive plans or other employee compensation plans existing on the date hereof and as described in the Prospectus, (b) any shares of Common Stock upon exercise of the warrants to the Placement Agent, if applicable, and/or shares of Common Stock upon the exercise or exchange of or conversion of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in connection with any joint venture, commercial or collaborative relationship, or the</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acquisition or license by the Company of the securities, business, property or other assets of another person, provided that such issuance is approved by the majority of the disinterested directors of the Company, and provided that such securities are issued as “restricted securities” (as defined in Rule 144) and carry no registration rights that require or permit the filing of any registration statement in connection therewith during the prohibition period in Section 4.12(a) herein, and (d) issuances to one or more lenders in connection with the Company’s entry into a non-convertible debt financing transaction, provided that such issuance set forth in clause (d) shall only be in the form of warrants to purchase shares of Common Stock and the shares of Common Stock underlying such warrants shall be “restricted securities” (as defined in Rule 144) and carry no registration rights that require or permit the filing of any registration statement in connection therewith during the prohibition period in Section 4.12(a) herein.</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3.1(gg).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3.1(z).</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have the meaning ascribed to such term in Section 3.1(o).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Purchase Price</w:t>
      </w:r>
      <w:r>
        <w:rPr>
          <w:rFonts w:ascii="Arial" w:cs="Arial" w:eastAsia="Arial" w:hAnsi="Arial"/>
          <w:sz w:val="17"/>
          <w:szCs w:val="17"/>
          <w:color w:val="auto"/>
        </w:rPr>
        <w:t>” equals $7.65, subject to adjustment for reverse and forward stock splits, stock dividends, stock combinations and other similar transactions of the Common Stock that occur after the date of this Agreement and prior to the Closing Date.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 in writing.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 including all information, documents and exhibits filed with or incorporated by reference into such base prospectus.</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 w:name="page14"/>
    <w:bookmarkEnd w:id="1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 including all information, documents and exhibits filed with or incorporated by reference into such supplement to the Prospectus.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333-237456), including all information, documents and exhibits filed with or incorporated by reference into such registration statement, which registers the sale of the Shares to the Purchasers.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set forth on Exhibit 21.1 of the Company’s most recently filed Annual Report on Form 10-K.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 w:name="page15"/>
    <w:bookmarkEnd w:id="14"/>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Broadridge Corporate Issuer Solutions, Inc., the current transfer agent of the Company and any successor transfer agent of the Company.</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00" w:type="dxa"/>
            <w:vAlign w:val="bottom"/>
          </w:tcPr>
          <w:p>
            <w:pPr>
              <w:spacing w:after="0"/>
              <w:rPr>
                <w:sz w:val="19"/>
                <w:szCs w:val="19"/>
                <w:color w:val="auto"/>
              </w:rPr>
            </w:pPr>
          </w:p>
        </w:tc>
        <w:tc>
          <w:tcPr>
            <w:tcW w:w="9960" w:type="dxa"/>
            <w:vAlign w:val="bottom"/>
          </w:tcPr>
          <w:p>
            <w:pPr>
              <w:jc w:val="center"/>
              <w:ind w:right="1150"/>
              <w:spacing w:after="0"/>
              <w:rPr>
                <w:sz w:val="20"/>
                <w:szCs w:val="20"/>
                <w:color w:val="auto"/>
              </w:rPr>
            </w:pPr>
            <w:r>
              <w:rPr>
                <w:rFonts w:ascii="Arial" w:cs="Arial" w:eastAsia="Arial" w:hAnsi="Arial"/>
                <w:sz w:val="18"/>
                <w:szCs w:val="18"/>
                <w:b w:val="1"/>
                <w:bCs w:val="1"/>
                <w:color w:val="auto"/>
              </w:rPr>
              <w:t>ARTICLE II.</w:t>
            </w:r>
          </w:p>
        </w:tc>
      </w:tr>
      <w:tr>
        <w:trPr>
          <w:trHeight w:val="230"/>
        </w:trPr>
        <w:tc>
          <w:tcPr>
            <w:tcW w:w="600" w:type="dxa"/>
            <w:vAlign w:val="bottom"/>
          </w:tcPr>
          <w:p>
            <w:pPr>
              <w:spacing w:after="0"/>
              <w:rPr>
                <w:sz w:val="20"/>
                <w:szCs w:val="20"/>
                <w:color w:val="auto"/>
              </w:rPr>
            </w:pPr>
          </w:p>
        </w:tc>
        <w:tc>
          <w:tcPr>
            <w:tcW w:w="9960" w:type="dxa"/>
            <w:vAlign w:val="bottom"/>
          </w:tcPr>
          <w:p>
            <w:pPr>
              <w:jc w:val="center"/>
              <w:ind w:right="1150"/>
              <w:spacing w:after="0"/>
              <w:rPr>
                <w:sz w:val="20"/>
                <w:szCs w:val="20"/>
                <w:color w:val="auto"/>
              </w:rPr>
            </w:pPr>
            <w:r>
              <w:rPr>
                <w:rFonts w:ascii="Arial" w:cs="Arial" w:eastAsia="Arial" w:hAnsi="Arial"/>
                <w:sz w:val="18"/>
                <w:szCs w:val="18"/>
                <w:color w:val="auto"/>
                <w:w w:val="96"/>
              </w:rPr>
              <w:t>PURCHASE AND SALE</w:t>
            </w:r>
          </w:p>
        </w:tc>
      </w:tr>
      <w:tr>
        <w:trPr>
          <w:trHeight w:val="432"/>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2.1</w:t>
            </w:r>
          </w:p>
        </w:tc>
        <w:tc>
          <w:tcPr>
            <w:tcW w:w="9960" w:type="dxa"/>
            <w:vAlign w:val="bottom"/>
          </w:tcPr>
          <w:p>
            <w:pPr>
              <w:ind w:left="380"/>
              <w:spacing w:after="0"/>
              <w:rPr>
                <w:sz w:val="20"/>
                <w:szCs w:val="20"/>
                <w:color w:val="auto"/>
              </w:rPr>
            </w:pPr>
            <w:r>
              <w:rPr>
                <w:rFonts w:ascii="Arial" w:cs="Arial" w:eastAsia="Arial" w:hAnsi="Arial"/>
                <w:sz w:val="18"/>
                <w:szCs w:val="18"/>
                <w:u w:val="single" w:color="auto"/>
                <w:color w:val="auto"/>
                <w:w w:val="93"/>
              </w:rPr>
              <w:t>Closing</w:t>
            </w:r>
            <w:r>
              <w:rPr>
                <w:rFonts w:ascii="Arial" w:cs="Arial" w:eastAsia="Arial" w:hAnsi="Arial"/>
                <w:sz w:val="18"/>
                <w:szCs w:val="18"/>
                <w:color w:val="auto"/>
                <w:w w:val="93"/>
              </w:rPr>
              <w:t>. On the Closing Date, upon the terms and subject to the conditions set forth herein, the Company agrees to sell, and the</w:t>
            </w:r>
          </w:p>
        </w:tc>
      </w:tr>
    </w:tbl>
    <w:p>
      <w:pPr>
        <w:jc w:val="both"/>
        <w:spacing w:after="0" w:line="268" w:lineRule="auto"/>
        <w:rPr>
          <w:sz w:val="20"/>
          <w:szCs w:val="20"/>
          <w:color w:val="auto"/>
        </w:rPr>
      </w:pPr>
      <w:r>
        <w:rPr>
          <w:rFonts w:ascii="Arial" w:cs="Arial" w:eastAsia="Arial" w:hAnsi="Arial"/>
          <w:sz w:val="17"/>
          <w:szCs w:val="17"/>
          <w:color w:val="auto"/>
        </w:rPr>
        <w:t>Purchasers, severally and not jointly, agree to purchase, up to an aggregate of $22.95 million of Shares. Each Purchaser’s Subscription Amount as set forth on the signature page hereto executed by such Purchaser shall be made available for “Delivery Versus Payment” (“</w:t>
      </w:r>
      <w:r>
        <w:rPr>
          <w:rFonts w:ascii="Arial" w:cs="Arial" w:eastAsia="Arial" w:hAnsi="Arial"/>
          <w:sz w:val="17"/>
          <w:szCs w:val="17"/>
          <w:u w:val="single" w:color="auto"/>
          <w:color w:val="auto"/>
        </w:rPr>
        <w:t>DVP</w:t>
      </w:r>
      <w:r>
        <w:rPr>
          <w:rFonts w:ascii="Arial" w:cs="Arial" w:eastAsia="Arial" w:hAnsi="Arial"/>
          <w:sz w:val="17"/>
          <w:szCs w:val="17"/>
          <w:color w:val="auto"/>
        </w:rPr>
        <w:t>”) settlement with the Company or its designees.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300" w:firstLine="652"/>
        <w:spacing w:after="0" w:line="277" w:lineRule="auto"/>
        <w:tabs>
          <w:tab w:leader="none" w:pos="2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legal opinion of Company Counsel, directed to the Placement Agent and the Purchasers, in a form reasonably acceptable to the Placement Agent and Purchasers;</w:t>
      </w:r>
    </w:p>
    <w:p>
      <w:pPr>
        <w:spacing w:after="0" w:line="170" w:lineRule="exact"/>
        <w:rPr>
          <w:rFonts w:ascii="Arial" w:cs="Arial" w:eastAsia="Arial" w:hAnsi="Arial"/>
          <w:sz w:val="18"/>
          <w:szCs w:val="18"/>
          <w:color w:val="auto"/>
        </w:rPr>
      </w:pPr>
    </w:p>
    <w:p>
      <w:pPr>
        <w:ind w:left="2900" w:hanging="948"/>
        <w:spacing w:after="0"/>
        <w:tabs>
          <w:tab w:leader="none" w:pos="2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Company’s wire instructions, on Company letterhead and executed by the Chief Executive Officer or Chief</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Financial Officer;</w:t>
      </w:r>
    </w:p>
    <w:p>
      <w:pPr>
        <w:spacing w:after="0" w:line="210" w:lineRule="exact"/>
        <w:rPr>
          <w:rFonts w:ascii="Arial" w:cs="Arial" w:eastAsia="Arial" w:hAnsi="Arial"/>
          <w:sz w:val="17"/>
          <w:szCs w:val="17"/>
          <w:color w:val="auto"/>
        </w:rPr>
      </w:pPr>
    </w:p>
    <w:p>
      <w:pPr>
        <w:ind w:left="1300" w:right="20" w:firstLine="652"/>
        <w:spacing w:after="0" w:line="277" w:lineRule="auto"/>
        <w:tabs>
          <w:tab w:leader="none" w:pos="2711"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40"/>
        <w:spacing w:after="0" w:line="277" w:lineRule="auto"/>
        <w:rPr>
          <w:sz w:val="20"/>
          <w:szCs w:val="20"/>
          <w:color w:val="auto"/>
        </w:rPr>
      </w:pPr>
      <w:r>
        <w:rPr>
          <w:rFonts w:ascii="Arial" w:cs="Arial" w:eastAsia="Arial" w:hAnsi="Arial"/>
          <w:sz w:val="18"/>
          <w:szCs w:val="18"/>
          <w:color w:val="auto"/>
        </w:rPr>
        <w:t>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 Amount divided by the Per Share Purchase Price, registered in the name of such Purchaser; and</w:t>
      </w:r>
    </w:p>
    <w:p>
      <w:pPr>
        <w:spacing w:after="0" w:line="170" w:lineRule="exact"/>
        <w:rPr>
          <w:sz w:val="20"/>
          <w:szCs w:val="20"/>
          <w:color w:val="auto"/>
        </w:rPr>
      </w:pPr>
    </w:p>
    <w:p>
      <w:pPr>
        <w:ind w:left="2020" w:hanging="728"/>
        <w:spacing w:after="0"/>
        <w:tabs>
          <w:tab w:leader="none" w:pos="2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1400" w:hanging="75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or prior to the Closing Date, each Purchaser shall deliver or cause to be delivered to the Company the following:</w:t>
      </w:r>
    </w:p>
    <w:p>
      <w:pPr>
        <w:spacing w:after="0" w:line="236" w:lineRule="exact"/>
        <w:rPr>
          <w:rFonts w:ascii="Arial" w:cs="Arial" w:eastAsia="Arial" w:hAnsi="Arial"/>
          <w:sz w:val="17"/>
          <w:szCs w:val="17"/>
          <w:color w:val="auto"/>
        </w:rPr>
      </w:pPr>
    </w:p>
    <w:p>
      <w:pPr>
        <w:ind w:left="2000" w:hanging="708"/>
        <w:spacing w:after="0"/>
        <w:tabs>
          <w:tab w:leader="none" w:pos="2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2120" w:hanging="828"/>
        <w:spacing w:after="0"/>
        <w:tabs>
          <w:tab w:leader="none" w:pos="2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such Purchaser’s Subscription Amount, which shall be made available for DVP settlement with the Company or its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designees.</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380" w:hanging="736"/>
        <w:spacing w:after="0"/>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obligations of the Company hereunder in connection with the Closing are subject to the following conditions being met:</w:t>
      </w:r>
    </w:p>
    <w:p>
      <w:pPr>
        <w:spacing w:after="0" w:line="248" w:lineRule="exact"/>
        <w:rPr>
          <w:rFonts w:ascii="Arial" w:cs="Arial" w:eastAsia="Arial" w:hAnsi="Arial"/>
          <w:sz w:val="16"/>
          <w:szCs w:val="16"/>
          <w:color w:val="auto"/>
        </w:rPr>
      </w:pPr>
    </w:p>
    <w:p>
      <w:pPr>
        <w:jc w:val="both"/>
        <w:ind w:left="640" w:firstLine="652"/>
        <w:spacing w:after="0" w:line="286" w:lineRule="auto"/>
        <w:tabs>
          <w:tab w:leader="none" w:pos="2187"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right="20" w:firstLine="652"/>
        <w:spacing w:after="0" w:line="277" w:lineRule="auto"/>
        <w:tabs>
          <w:tab w:leader="none" w:pos="2102"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2100" w:hanging="808"/>
        <w:spacing w:after="0"/>
        <w:tabs>
          <w:tab w:leader="none" w:pos="2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460" w:hanging="816"/>
        <w:spacing w:after="0"/>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187"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12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2020" w:hanging="728"/>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 w:name="page17"/>
    <w:bookmarkEnd w:id="16"/>
    <w:p>
      <w:pPr>
        <w:ind w:left="2660" w:hanging="708"/>
        <w:spacing w:after="0"/>
        <w:tabs>
          <w:tab w:leader="none" w:pos="2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922"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makes the following representations and warranties to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11" w:lineRule="exact"/>
        <w:rPr>
          <w:sz w:val="20"/>
          <w:szCs w:val="20"/>
          <w:color w:val="auto"/>
        </w:rPr>
      </w:pPr>
    </w:p>
    <w:p>
      <w:pPr>
        <w:jc w:val="both"/>
        <w:ind w:left="660" w:firstLine="644"/>
        <w:spacing w:after="0" w:line="255" w:lineRule="auto"/>
        <w:tabs>
          <w:tab w:leader="none" w:pos="233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Subsidiaries are the Company’s only significant subsidiaries (as such term is defined in Rule 1.02 of Regulation S-X promulgated by the Commission). Except as set forth in the Prospectus or the Prospectus Supplement,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92" w:lineRule="exact"/>
        <w:rPr>
          <w:rFonts w:ascii="Arial" w:cs="Arial" w:eastAsia="Arial" w:hAnsi="Arial"/>
          <w:sz w:val="18"/>
          <w:szCs w:val="18"/>
          <w:color w:val="auto"/>
        </w:rPr>
      </w:pPr>
    </w:p>
    <w:p>
      <w:pPr>
        <w:jc w:val="both"/>
        <w:ind w:left="660" w:firstLine="644"/>
        <w:spacing w:after="0" w:line="269" w:lineRule="auto"/>
        <w:tabs>
          <w:tab w:leader="none" w:pos="2341"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as described in the SEC Reports.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Company’s ability to perform in any material respect on a timely basis its obligations under any Transaction Document (any of (i), (ii) or (iii),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and no Proceeding has been instituted in any such jurisdiction revoking, limiting or curtailing or seeking to revoke, limit or curtail such power and authority or qualification.</w:t>
      </w:r>
    </w:p>
    <w:p>
      <w:pPr>
        <w:spacing w:after="0" w:line="184" w:lineRule="exact"/>
        <w:rPr>
          <w:sz w:val="20"/>
          <w:szCs w:val="20"/>
          <w:color w:val="auto"/>
        </w:rPr>
      </w:pPr>
    </w:p>
    <w:p>
      <w:pPr>
        <w:jc w:val="both"/>
        <w:ind w:firstLine="644"/>
        <w:spacing w:after="0" w:line="287" w:lineRule="auto"/>
        <w:tabs>
          <w:tab w:leader="none" w:pos="138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and public policy considerations in respect thereof.</w:t>
      </w:r>
    </w:p>
    <w:p>
      <w:pPr>
        <w:spacing w:after="0" w:line="171" w:lineRule="exact"/>
        <w:rPr>
          <w:rFonts w:ascii="Arial" w:cs="Arial" w:eastAsia="Arial" w:hAnsi="Arial"/>
          <w:sz w:val="16"/>
          <w:szCs w:val="16"/>
          <w:color w:val="auto"/>
        </w:rPr>
      </w:pPr>
    </w:p>
    <w:p>
      <w:pPr>
        <w:jc w:val="both"/>
        <w:ind w:firstLine="644"/>
        <w:spacing w:after="0" w:line="287" w:lineRule="auto"/>
        <w:tabs>
          <w:tab w:leader="none" w:pos="172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67" w:lineRule="exact"/>
        <w:rPr>
          <w:rFonts w:ascii="Arial" w:cs="Arial" w:eastAsia="Arial" w:hAnsi="Arial"/>
          <w:sz w:val="16"/>
          <w:szCs w:val="16"/>
          <w:color w:val="auto"/>
        </w:rPr>
      </w:pPr>
    </w:p>
    <w:p>
      <w:pPr>
        <w:ind w:firstLine="644"/>
        <w:spacing w:after="0" w:line="277" w:lineRule="auto"/>
        <w:tabs>
          <w:tab w:leader="none" w:pos="148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 w:name="page19"/>
    <w:bookmarkEnd w:id="18"/>
    <w:p>
      <w:pPr>
        <w:jc w:val="both"/>
        <w:ind w:left="4" w:right="20"/>
        <w:spacing w:after="0" w:line="291" w:lineRule="auto"/>
        <w:rPr>
          <w:sz w:val="20"/>
          <w:szCs w:val="20"/>
          <w:color w:val="auto"/>
        </w:rPr>
      </w:pPr>
      <w:r>
        <w:rPr>
          <w:rFonts w:ascii="Arial" w:cs="Arial" w:eastAsia="Arial" w:hAnsi="Arial"/>
          <w:sz w:val="16"/>
          <w:szCs w:val="16"/>
          <w:color w:val="auto"/>
        </w:rPr>
        <w:t>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w:t>
      </w:r>
    </w:p>
    <w:p>
      <w:pPr>
        <w:jc w:val="both"/>
        <w:ind w:left="4" w:hanging="4"/>
        <w:spacing w:after="0" w:line="255" w:lineRule="auto"/>
        <w:tabs>
          <w:tab w:leader="none" w:pos="2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4" w:firstLine="644"/>
        <w:spacing w:after="0" w:line="285" w:lineRule="auto"/>
        <w:tabs>
          <w:tab w:leader="none" w:pos="1534"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Issuance of the Shares;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May 5, 2020,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as set forth in General Instruction I.B.1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71" w:lineRule="exact"/>
        <w:rPr>
          <w:rFonts w:ascii="Arial" w:cs="Arial" w:eastAsia="Arial" w:hAnsi="Arial"/>
          <w:sz w:val="16"/>
          <w:szCs w:val="16"/>
          <w:color w:val="auto"/>
        </w:rPr>
      </w:pPr>
    </w:p>
    <w:p>
      <w:pPr>
        <w:jc w:val="both"/>
        <w:ind w:left="4" w:firstLine="644"/>
        <w:spacing w:after="0" w:line="254" w:lineRule="auto"/>
        <w:tabs>
          <w:tab w:leader="none" w:pos="1442"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issued and outstanding shares of capital stock of the Company have been validly issued, are fully paid and nonassessable and, other than as disclosed in the SEC Reports, are not subject to any preemptive rights, rights of first refusal or similar rights. The Company has an authorized, issued and outstanding capitalization as set forth in the SEC Reports as of the dates referred to therein (other than the grant of additional options under the Company’s existing equity incentive or stock option plans, or changes in the number of outstanding shares of Common Stock of the Company due to (i) the issuance of shares upon the exercise or conversion of securities exercisable for, or convertible into, Common Stock outstanding on the date hereof and (ii) the issuance of shares of Common Stock pursuant to the At Market Issuance Sales Agreement) and such</w:t>
      </w:r>
    </w:p>
    <w:p>
      <w:pPr>
        <w:spacing w:after="0" w:line="200" w:lineRule="exact"/>
        <w:rPr>
          <w:sz w:val="20"/>
          <w:szCs w:val="20"/>
          <w:color w:val="auto"/>
        </w:rPr>
      </w:pPr>
    </w:p>
    <w:p>
      <w:pPr>
        <w:spacing w:after="0" w:line="21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9" w:name="page20"/>
    <w:bookmarkEnd w:id="19"/>
    <w:p>
      <w:pPr>
        <w:jc w:val="both"/>
        <w:ind w:left="4"/>
        <w:spacing w:after="0" w:line="291" w:lineRule="auto"/>
        <w:rPr>
          <w:sz w:val="20"/>
          <w:szCs w:val="20"/>
          <w:color w:val="auto"/>
        </w:rPr>
      </w:pPr>
      <w:r>
        <w:rPr>
          <w:rFonts w:ascii="Arial" w:cs="Arial" w:eastAsia="Arial" w:hAnsi="Arial"/>
          <w:sz w:val="16"/>
          <w:szCs w:val="16"/>
          <w:color w:val="auto"/>
        </w:rPr>
        <w:t>authorized capital stock conforms in all material respects to the description thereof set forth in the SEC Reports. The description of the securities of the Company in the SEC Reports is complete and accurate in all material respects. Except as disclosed in or contemplated by the SEC Reports,</w:t>
      </w:r>
    </w:p>
    <w:p>
      <w:pPr>
        <w:jc w:val="both"/>
        <w:ind w:left="4" w:hanging="4"/>
        <w:spacing w:after="0" w:line="281" w:lineRule="auto"/>
        <w:tabs>
          <w:tab w:leader="none" w:pos="2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Person has the right, contractual or otherwise, to cause the Company to issue or sell to such Person any Common Stock or shares of any other capital stock or other securities of the Company (other than outstanding options or warrants to purchase Common Stock or options or other equity securities that may be granted from time to time under the Company’s equity incentive plans which are disclosed in the SEC Reports) and</w:t>
      </w:r>
    </w:p>
    <w:p>
      <w:pPr>
        <w:spacing w:after="0" w:line="1" w:lineRule="exact"/>
        <w:rPr>
          <w:rFonts w:ascii="Arial" w:cs="Arial" w:eastAsia="Arial" w:hAnsi="Arial"/>
          <w:sz w:val="16"/>
          <w:szCs w:val="16"/>
          <w:color w:val="auto"/>
        </w:rPr>
      </w:pPr>
    </w:p>
    <w:p>
      <w:pPr>
        <w:jc w:val="both"/>
        <w:ind w:left="4" w:hanging="4"/>
        <w:spacing w:after="0" w:line="288" w:lineRule="auto"/>
        <w:tabs>
          <w:tab w:leader="none" w:pos="2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Person has any preemptive rights, resale rights, rights of first refusal, rights of co-sale, or any other rights (whether pursuant to a “poison pill” provision or otherwise) to purchase any Common Stock or shares of any other capital stock or other securities of the Company.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68" w:lineRule="exact"/>
        <w:rPr>
          <w:rFonts w:ascii="Arial" w:cs="Arial" w:eastAsia="Arial" w:hAnsi="Arial"/>
          <w:sz w:val="16"/>
          <w:szCs w:val="16"/>
          <w:color w:val="auto"/>
        </w:rPr>
      </w:pPr>
    </w:p>
    <w:p>
      <w:pPr>
        <w:jc w:val="both"/>
        <w:ind w:left="4" w:firstLine="644"/>
        <w:spacing w:after="0" w:line="286" w:lineRule="auto"/>
        <w:tabs>
          <w:tab w:leader="none" w:pos="157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the requirements of the Securities Act and the Exchange Act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8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 w:name="page21"/>
    <w:bookmarkEnd w:id="20"/>
    <w:p>
      <w:pPr>
        <w:jc w:val="both"/>
        <w:ind w:left="4" w:firstLine="644"/>
        <w:spacing w:after="0" w:line="283" w:lineRule="auto"/>
        <w:tabs>
          <w:tab w:leader="none" w:pos="1362"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Subsequent to the respective dates as of which information is given in the SEC Reports, (i) there has been no event, occurrence or development that has had or that could reasonably be expected to result in a Material Adverse Effect, (ii) the Company has not incurred any liabilities (contingent or otherwise) which is material to the Company and the Subsidiaries taken as a whole,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w:t>
      </w:r>
    </w:p>
    <w:p>
      <w:pPr>
        <w:spacing w:after="0" w:line="3" w:lineRule="exact"/>
        <w:rPr>
          <w:rFonts w:ascii="Arial" w:cs="Arial" w:eastAsia="Arial" w:hAnsi="Arial"/>
          <w:sz w:val="16"/>
          <w:szCs w:val="16"/>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Trading Day prior to the date that this representation is made.</w:t>
      </w:r>
    </w:p>
    <w:p>
      <w:pPr>
        <w:spacing w:after="0" w:line="210" w:lineRule="exact"/>
        <w:rPr>
          <w:rFonts w:ascii="Arial" w:cs="Arial" w:eastAsia="Arial" w:hAnsi="Arial"/>
          <w:sz w:val="18"/>
          <w:szCs w:val="18"/>
          <w:color w:val="auto"/>
        </w:rPr>
      </w:pPr>
    </w:p>
    <w:p>
      <w:pPr>
        <w:jc w:val="both"/>
        <w:ind w:left="4" w:firstLine="644"/>
        <w:spacing w:after="0" w:line="291" w:lineRule="auto"/>
        <w:tabs>
          <w:tab w:leader="none" w:pos="1402"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w:t>
      </w:r>
    </w:p>
    <w:p>
      <w:pPr>
        <w:spacing w:after="0" w:line="166" w:lineRule="exact"/>
        <w:rPr>
          <w:rFonts w:ascii="Arial" w:cs="Arial" w:eastAsia="Arial" w:hAnsi="Arial"/>
          <w:sz w:val="16"/>
          <w:szCs w:val="16"/>
          <w:color w:val="auto"/>
        </w:rPr>
      </w:pPr>
    </w:p>
    <w:p>
      <w:pPr>
        <w:jc w:val="both"/>
        <w:ind w:left="4" w:firstLine="644"/>
        <w:spacing w:after="0" w:line="272" w:lineRule="auto"/>
        <w:tabs>
          <w:tab w:leader="none" w:pos="1685"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restrictive covenant in favor of any third party.</w:t>
      </w:r>
    </w:p>
    <w:p>
      <w:pPr>
        <w:spacing w:after="0" w:line="177" w:lineRule="exact"/>
        <w:rPr>
          <w:rFonts w:ascii="Arial" w:cs="Arial" w:eastAsia="Arial" w:hAnsi="Arial"/>
          <w:sz w:val="17"/>
          <w:szCs w:val="17"/>
          <w:color w:val="auto"/>
        </w:rPr>
      </w:pPr>
    </w:p>
    <w:p>
      <w:pPr>
        <w:ind w:left="4" w:firstLine="644"/>
        <w:spacing w:after="0" w:line="277" w:lineRule="auto"/>
        <w:tabs>
          <w:tab w:leader="none" w:pos="140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Neither the Company nor any Subsidiary: (i) is in default under or in violation of (and no event has occurred that has not been waived that, with</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340"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applicable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77" w:lineRule="exact"/>
        <w:rPr>
          <w:sz w:val="20"/>
          <w:szCs w:val="20"/>
          <w:color w:val="auto"/>
        </w:rPr>
      </w:pPr>
    </w:p>
    <w:p>
      <w:pPr>
        <w:ind w:left="1360" w:hanging="716"/>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44"/>
        <w:spacing w:after="0" w:line="290" w:lineRule="auto"/>
        <w:tabs>
          <w:tab w:leader="none" w:pos="132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do not own any real property. The Company and Subsidiaries have good and marketable title in all personal property owned by them that is material to the business of the Company and the Subsidiaries (other than intellectual property, which is addressed in Section 3.1(o)),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spacing w:after="0" w:line="165" w:lineRule="exact"/>
        <w:rPr>
          <w:rFonts w:ascii="Arial" w:cs="Arial" w:eastAsia="Arial" w:hAnsi="Arial"/>
          <w:sz w:val="16"/>
          <w:szCs w:val="16"/>
          <w:color w:val="auto"/>
        </w:rPr>
      </w:pPr>
    </w:p>
    <w:p>
      <w:pPr>
        <w:jc w:val="both"/>
        <w:ind w:firstLine="644"/>
        <w:spacing w:after="0" w:line="287" w:lineRule="auto"/>
        <w:tabs>
          <w:tab w:leader="none" w:pos="144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its Subsidiaries own, possess, license or have other rights to use, or can acquire on reasonable terms a license or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their respective businesses as currently conducted as described in the SEC Reports except to the extent that the failure to own, possess, license or otherwise hold adequate rights to use such Intellectual Property would not, individually or in the aggregate, have a Material Adverse Effect. Except as disclosed in the SEC Reports (i) to the Company’s knowledge,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SEC Reports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infringement by third parties or any such pending or threatened suit, action, proceeding or claim as would not, individually or in the aggregate, reasonably be expected to result in a Material Adverse Effect.</w:t>
      </w:r>
    </w:p>
    <w:p>
      <w:pPr>
        <w:spacing w:after="0" w:line="192" w:lineRule="exact"/>
        <w:rPr>
          <w:sz w:val="20"/>
          <w:szCs w:val="20"/>
          <w:color w:val="auto"/>
        </w:rPr>
      </w:pPr>
    </w:p>
    <w:p>
      <w:pPr>
        <w:jc w:val="both"/>
        <w:ind w:firstLine="644"/>
        <w:spacing w:after="0" w:line="296" w:lineRule="auto"/>
        <w:tabs>
          <w:tab w:leader="none" w:pos="139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1" w:lineRule="exact"/>
        <w:rPr>
          <w:rFonts w:ascii="Arial" w:cs="Arial" w:eastAsia="Arial" w:hAnsi="Arial"/>
          <w:sz w:val="16"/>
          <w:szCs w:val="16"/>
          <w:color w:val="auto"/>
        </w:rPr>
      </w:pPr>
    </w:p>
    <w:p>
      <w:pPr>
        <w:jc w:val="both"/>
        <w:ind w:firstLine="644"/>
        <w:spacing w:after="0" w:line="270" w:lineRule="auto"/>
        <w:tabs>
          <w:tab w:leader="none" w:pos="1487"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equity incentive agreements under any equity incentive plan of the Company.</w:t>
      </w:r>
    </w:p>
    <w:p>
      <w:pPr>
        <w:spacing w:after="0" w:line="180" w:lineRule="exact"/>
        <w:rPr>
          <w:rFonts w:ascii="Arial" w:cs="Arial" w:eastAsia="Arial" w:hAnsi="Arial"/>
          <w:sz w:val="17"/>
          <w:szCs w:val="17"/>
          <w:color w:val="auto"/>
        </w:rPr>
      </w:pPr>
    </w:p>
    <w:p>
      <w:pPr>
        <w:jc w:val="both"/>
        <w:ind w:firstLine="644"/>
        <w:spacing w:after="0" w:line="293" w:lineRule="auto"/>
        <w:tabs>
          <w:tab w:leader="none" w:pos="144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w:t>
      </w:r>
    </w:p>
    <w:p>
      <w:pPr>
        <w:spacing w:after="0" w:line="3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provide reasonable assurance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7"/>
          <w:szCs w:val="17"/>
          <w:u w:val="single" w:color="auto"/>
          <w:color w:val="auto"/>
        </w:rPr>
        <w:t>Evaluation Date</w:t>
      </w:r>
      <w:r>
        <w:rPr>
          <w:rFonts w:ascii="Arial" w:cs="Arial" w:eastAsia="Arial" w:hAnsi="Arial"/>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9" w:lineRule="exact"/>
        <w:rPr>
          <w:sz w:val="20"/>
          <w:szCs w:val="20"/>
          <w:color w:val="auto"/>
        </w:rPr>
      </w:pPr>
    </w:p>
    <w:p>
      <w:pPr>
        <w:jc w:val="both"/>
        <w:ind w:firstLine="644"/>
        <w:spacing w:after="0" w:line="275" w:lineRule="auto"/>
        <w:tabs>
          <w:tab w:leader="none" w:pos="1499"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76" w:lineRule="exact"/>
        <w:rPr>
          <w:rFonts w:ascii="Arial" w:cs="Arial" w:eastAsia="Arial" w:hAnsi="Arial"/>
          <w:sz w:val="17"/>
          <w:szCs w:val="17"/>
          <w:color w:val="auto"/>
        </w:rPr>
      </w:pPr>
    </w:p>
    <w:p>
      <w:pPr>
        <w:jc w:val="both"/>
        <w:ind w:firstLine="644"/>
        <w:spacing w:after="0" w:line="259" w:lineRule="auto"/>
        <w:tabs>
          <w:tab w:leader="none" w:pos="139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right="20" w:firstLine="644"/>
        <w:spacing w:after="0" w:line="277" w:lineRule="auto"/>
        <w:tabs>
          <w:tab w:leader="none" w:pos="155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firstLine="644"/>
        <w:spacing w:after="0" w:line="257" w:lineRule="auto"/>
        <w:tabs>
          <w:tab w:leader="none" w:pos="143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the Company has not, in the 12 months preceding the date hereof, received notice from any Trading Market on which the Common Stock is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or has been listed or quoted to the effect that the Company is not in compliance with the listing or maintenance requirements of such Trading Market.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7" w:lineRule="exact"/>
        <w:rPr>
          <w:sz w:val="20"/>
          <w:szCs w:val="20"/>
          <w:color w:val="auto"/>
        </w:rPr>
      </w:pPr>
    </w:p>
    <w:p>
      <w:pPr>
        <w:jc w:val="both"/>
        <w:ind w:firstLine="644"/>
        <w:spacing w:after="0" w:line="255" w:lineRule="auto"/>
        <w:tabs>
          <w:tab w:leader="none" w:pos="138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92" w:lineRule="exact"/>
        <w:rPr>
          <w:rFonts w:ascii="Arial" w:cs="Arial" w:eastAsia="Arial" w:hAnsi="Arial"/>
          <w:sz w:val="18"/>
          <w:szCs w:val="18"/>
          <w:color w:val="auto"/>
        </w:rPr>
      </w:pPr>
    </w:p>
    <w:p>
      <w:pPr>
        <w:jc w:val="both"/>
        <w:ind w:firstLine="644"/>
        <w:spacing w:after="0" w:line="287" w:lineRule="auto"/>
        <w:tabs>
          <w:tab w:leader="none" w:pos="158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67" w:lineRule="exact"/>
        <w:rPr>
          <w:rFonts w:ascii="Arial" w:cs="Arial" w:eastAsia="Arial" w:hAnsi="Arial"/>
          <w:sz w:val="16"/>
          <w:szCs w:val="16"/>
          <w:color w:val="auto"/>
        </w:rPr>
      </w:pPr>
    </w:p>
    <w:p>
      <w:pPr>
        <w:jc w:val="both"/>
        <w:ind w:firstLine="644"/>
        <w:spacing w:after="0" w:line="257" w:lineRule="auto"/>
        <w:tabs>
          <w:tab w:leader="none" w:pos="155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jc w:val="both"/>
        <w:ind w:left="-460" w:firstLine="644"/>
        <w:spacing w:after="0" w:line="285" w:lineRule="auto"/>
        <w:tabs>
          <w:tab w:leader="none" w:pos="107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71" w:lineRule="exact"/>
        <w:rPr>
          <w:sz w:val="20"/>
          <w:szCs w:val="20"/>
          <w:color w:val="auto"/>
        </w:rPr>
      </w:pPr>
    </w:p>
    <w:p>
      <w:pPr>
        <w:jc w:val="both"/>
        <w:ind w:left="-460" w:firstLine="644"/>
        <w:spacing w:after="0" w:line="272" w:lineRule="auto"/>
        <w:tabs>
          <w:tab w:leader="none" w:pos="88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SEC Reports,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77" w:lineRule="exact"/>
        <w:rPr>
          <w:rFonts w:ascii="Arial" w:cs="Arial" w:eastAsia="Arial" w:hAnsi="Arial"/>
          <w:sz w:val="17"/>
          <w:szCs w:val="17"/>
          <w:color w:val="auto"/>
        </w:rPr>
      </w:pPr>
    </w:p>
    <w:p>
      <w:pPr>
        <w:jc w:val="both"/>
        <w:ind w:left="-460" w:firstLine="644"/>
        <w:spacing w:after="0" w:line="259" w:lineRule="auto"/>
        <w:tabs>
          <w:tab w:leader="none" w:pos="91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4" w:lineRule="exact"/>
        <w:rPr>
          <w:sz w:val="20"/>
          <w:szCs w:val="20"/>
          <w:color w:val="auto"/>
        </w:rPr>
      </w:pPr>
    </w:p>
    <w:p>
      <w:pPr>
        <w:jc w:val="both"/>
        <w:ind w:firstLine="644"/>
        <w:spacing w:after="0" w:line="286" w:lineRule="auto"/>
        <w:tabs>
          <w:tab w:leader="none" w:pos="1427"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independent registered public accounting firm is Ernst &amp; Young LLP. To the knowledge of the Company, such accounting firm (i) is a registered public accounting firm as required by the Exchange Act and (ii) shall express its opinion with respect to the financial statements to be included in the Company’s Annual Report for the fiscal year ended December 31, 2020.</w:t>
      </w:r>
    </w:p>
    <w:p>
      <w:pPr>
        <w:spacing w:after="0" w:line="165" w:lineRule="exact"/>
        <w:rPr>
          <w:rFonts w:ascii="Arial" w:cs="Arial" w:eastAsia="Arial" w:hAnsi="Arial"/>
          <w:sz w:val="17"/>
          <w:szCs w:val="17"/>
          <w:color w:val="auto"/>
        </w:rPr>
      </w:pPr>
    </w:p>
    <w:p>
      <w:pPr>
        <w:jc w:val="both"/>
        <w:ind w:firstLine="644"/>
        <w:spacing w:after="0" w:line="271" w:lineRule="auto"/>
        <w:tabs>
          <w:tab w:leader="none" w:pos="157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Shares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firstLine="644"/>
        <w:spacing w:after="0" w:line="268" w:lineRule="auto"/>
        <w:tabs>
          <w:tab w:leader="none" w:pos="148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jc w:val="both"/>
        <w:ind w:left="4" w:firstLine="644"/>
        <w:spacing w:after="0" w:line="287" w:lineRule="auto"/>
        <w:tabs>
          <w:tab w:leader="none" w:pos="1419"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w:t>
      </w:r>
    </w:p>
    <w:p>
      <w:pPr>
        <w:spacing w:after="0" w:line="2" w:lineRule="exact"/>
        <w:rPr>
          <w:rFonts w:ascii="Arial" w:cs="Arial" w:eastAsia="Arial" w:hAnsi="Arial"/>
          <w:sz w:val="16"/>
          <w:szCs w:val="16"/>
          <w:color w:val="auto"/>
        </w:rPr>
      </w:pPr>
    </w:p>
    <w:p>
      <w:pPr>
        <w:ind w:left="4" w:hanging="4"/>
        <w:spacing w:after="0" w:line="260" w:lineRule="auto"/>
        <w:tabs>
          <w:tab w:leader="none" w:pos="3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paid or agreed to pay to any Person any compensation for soliciting another to purchase the Shares, other than, in the case of clauses (ii) and (iii), compensation paid to the Company’s placement agent in connection with the placement of the Shares.</w:t>
      </w:r>
    </w:p>
    <w:p>
      <w:pPr>
        <w:spacing w:after="0" w:line="185" w:lineRule="exact"/>
        <w:rPr>
          <w:rFonts w:ascii="Arial" w:cs="Arial" w:eastAsia="Arial" w:hAnsi="Arial"/>
          <w:sz w:val="18"/>
          <w:szCs w:val="18"/>
          <w:color w:val="auto"/>
        </w:rPr>
      </w:pPr>
    </w:p>
    <w:p>
      <w:pPr>
        <w:jc w:val="both"/>
        <w:ind w:left="4" w:firstLine="644"/>
        <w:spacing w:after="0" w:line="285" w:lineRule="auto"/>
        <w:tabs>
          <w:tab w:leader="none" w:pos="158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Except as disclosed in the SEC Reports,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Arial" w:cs="Arial" w:eastAsia="Arial" w:hAnsi="Arial"/>
          <w:sz w:val="16"/>
          <w:szCs w:val="16"/>
          <w:u w:val="single" w:color="auto"/>
          <w:color w:val="auto"/>
        </w:rPr>
        <w:t>FDA</w:t>
      </w:r>
      <w:r>
        <w:rPr>
          <w:rFonts w:ascii="Arial" w:cs="Arial" w:eastAsia="Arial" w:hAnsi="Arial"/>
          <w:sz w:val="16"/>
          <w:szCs w:val="16"/>
          <w:color w:val="auto"/>
        </w:rPr>
        <w:t>”), the United States Drug Enforcement Administration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currently conducted as described in the SEC Reports (collectively, “</w:t>
      </w:r>
      <w:r>
        <w:rPr>
          <w:rFonts w:ascii="Arial" w:cs="Arial" w:eastAsia="Arial" w:hAnsi="Arial"/>
          <w:sz w:val="16"/>
          <w:szCs w:val="16"/>
          <w:u w:val="single" w:color="auto"/>
          <w:color w:val="auto"/>
        </w:rPr>
        <w:t>Permits</w:t>
      </w:r>
      <w:r>
        <w:rPr>
          <w:rFonts w:ascii="Arial" w:cs="Arial" w:eastAsia="Arial" w:hAnsi="Arial"/>
          <w:sz w:val="16"/>
          <w:szCs w:val="16"/>
          <w:color w:val="auto"/>
        </w:rPr>
        <w:t>”), except for such Permits the failure of which to possess, obtain or make the same would not reasonably be expected to have a Material Adverse Effect; the Company and its Subsidiaries are in compliance with the terms and conditions of all such Permits, except where the failure to be in compliance would not reasonably be expected to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reasonably be expected to have a Material Adverse Effect, or has any reason to believe that any such license, certificate, permit or authorization will not be renewed in the ordinary course. To the extent required by applicable laws and regulations of the FDA, the Company or the applicable Subsidiary has submitted to the FDA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with respect to any such submissions.</w:t>
      </w:r>
    </w:p>
    <w:p>
      <w:pPr>
        <w:spacing w:after="0" w:line="171" w:lineRule="exact"/>
        <w:rPr>
          <w:rFonts w:ascii="Arial" w:cs="Arial" w:eastAsia="Arial" w:hAnsi="Arial"/>
          <w:sz w:val="16"/>
          <w:szCs w:val="16"/>
          <w:color w:val="auto"/>
        </w:rPr>
      </w:pPr>
    </w:p>
    <w:p>
      <w:pPr>
        <w:jc w:val="both"/>
        <w:ind w:left="4" w:firstLine="644"/>
        <w:spacing w:after="0" w:line="296" w:lineRule="auto"/>
        <w:tabs>
          <w:tab w:leader="none" w:pos="1379"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Regulatory Filings</w:t>
      </w:r>
      <w:r>
        <w:rPr>
          <w:rFonts w:ascii="Arial" w:cs="Arial" w:eastAsia="Arial" w:hAnsi="Arial"/>
          <w:sz w:val="16"/>
          <w:szCs w:val="16"/>
          <w:color w:val="auto"/>
        </w:rPr>
        <w:t>. Except as disclosed in the SEC Reports, neither the Company nor any of its Subsidiaries has failed to file with the applicable governmental authorities (including, without limitation, the FDA, or any foreign, federal, state, provincial or local governmental authority performing functions similar to those performed by the FDA) any required filing, declaration, listing, registration, report or submission, except for such failures that, individually or in the aggregate, would not reasonably be expected to have a Material Adverse Effect; except as disclosed in the SEC Reports, all such filings, declarations, listings, registrations, reports or submissions were in compliance with</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applicable laws when filed and no deficiencies have been asserted by any applicable regulatory authority with respect to any such filings, declarations, listings, registrations, reports or submissions, except for any deficiencies that, individually or in the aggregate, would not reasonably be expected to have a Material Adverse Effect. The Company has operated and currently is, in all material respects, in compliance with the United States Federal Food, Drug, and Cosmetic Act, all applicable rules and regulations of the FDA and other federal, state, local and foreign governmental authority exercising comparable authority. The Company has no knowledge of any studies, tests or trials not described in the SEC Repots the results of which reasonably call into question in any material respect the results of the studies, tests and trials described in the SEC Reports.</w:t>
      </w:r>
    </w:p>
    <w:p>
      <w:pPr>
        <w:spacing w:after="0" w:line="195" w:lineRule="exact"/>
        <w:rPr>
          <w:sz w:val="20"/>
          <w:szCs w:val="20"/>
          <w:color w:val="auto"/>
        </w:rPr>
      </w:pPr>
    </w:p>
    <w:p>
      <w:pPr>
        <w:jc w:val="both"/>
        <w:ind w:firstLine="644"/>
        <w:spacing w:after="0" w:line="270" w:lineRule="auto"/>
        <w:tabs>
          <w:tab w:leader="none" w:pos="148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Clinical Studies</w:t>
      </w:r>
      <w:r>
        <w:rPr>
          <w:rFonts w:ascii="Arial" w:cs="Arial" w:eastAsia="Arial" w:hAnsi="Arial"/>
          <w:sz w:val="17"/>
          <w:szCs w:val="17"/>
          <w:color w:val="auto"/>
        </w:rPr>
        <w:t>. The preclinical studies and tests and clinical trials described in the SEC Reports being conducted by or on behalf of the Company were, and, if still pending, are being conducted in all material respects in accordance with the experimental protocols, procedures and controls pursuant to, where applicable, accepted professional and scientific standards for products or product candidates comparable to those being developed by the Company; the descriptions of such studies, tests and trials, and the results thereof, contained in the SEC Reports are accurate and complete in all material respects; the Company is not aware of any tests, studies or trials not described in the SEC Reports, the results of which reasonably call into question the results of the tests, studies and trials described in the SEC Reports; and the Company has not received any written notice or correspondence from the FDA or any foreign, state or local governmental authority exercising comparable authority or any institutional review board or comparable authority requiring the termination, suspension, clinical hold or material modification of any tests, studies or trials that are described or referred to in the SEC Reports.</w:t>
      </w:r>
    </w:p>
    <w:p>
      <w:pPr>
        <w:spacing w:after="0" w:line="180" w:lineRule="exact"/>
        <w:rPr>
          <w:rFonts w:ascii="Arial" w:cs="Arial" w:eastAsia="Arial" w:hAnsi="Arial"/>
          <w:sz w:val="17"/>
          <w:szCs w:val="17"/>
          <w:color w:val="auto"/>
        </w:rPr>
      </w:pPr>
    </w:p>
    <w:p>
      <w:pPr>
        <w:jc w:val="both"/>
        <w:ind w:firstLine="644"/>
        <w:spacing w:after="0" w:line="254" w:lineRule="auto"/>
        <w:tabs>
          <w:tab w:leader="none" w:pos="147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Each stock option granted by the Company under the Company’s stock option or equity incentive plans was granted (i) in accordance with the terms of the Company’s applicable stock option or equity incentive plan and (ii) with an exercise price at least equal to the fair market value of the Common Stock on the date such stock option would be considered granted under GAAP and applicable law. No stock option granted under the Company’s stock option or equity incentive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4" w:lineRule="exact"/>
        <w:rPr>
          <w:rFonts w:ascii="Arial" w:cs="Arial" w:eastAsia="Arial" w:hAnsi="Arial"/>
          <w:sz w:val="18"/>
          <w:szCs w:val="18"/>
          <w:color w:val="auto"/>
        </w:rPr>
      </w:pPr>
    </w:p>
    <w:p>
      <w:pPr>
        <w:jc w:val="both"/>
        <w:ind w:firstLine="644"/>
        <w:spacing w:after="0" w:line="263" w:lineRule="auto"/>
        <w:tabs>
          <w:tab w:leader="none" w:pos="147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44"/>
        <w:spacing w:after="0" w:line="342" w:lineRule="auto"/>
        <w:tabs>
          <w:tab w:leader="none" w:pos="151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34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9" w:name="page30"/>
    <w:bookmarkEnd w:id="29"/>
    <w:p>
      <w:pPr>
        <w:jc w:val="both"/>
        <w:ind w:left="660" w:firstLine="644"/>
        <w:spacing w:after="0" w:line="293" w:lineRule="auto"/>
        <w:tabs>
          <w:tab w:leader="none" w:pos="213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64" w:lineRule="exact"/>
        <w:rPr>
          <w:rFonts w:ascii="Arial" w:cs="Arial" w:eastAsia="Arial" w:hAnsi="Arial"/>
          <w:sz w:val="16"/>
          <w:szCs w:val="16"/>
          <w:color w:val="auto"/>
        </w:rPr>
      </w:pPr>
    </w:p>
    <w:p>
      <w:pPr>
        <w:jc w:val="both"/>
        <w:ind w:left="660" w:firstLine="644"/>
        <w:spacing w:after="0" w:line="296" w:lineRule="auto"/>
        <w:tabs>
          <w:tab w:leader="none" w:pos="198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340" w:firstLine="964"/>
        <w:spacing w:after="0" w:line="269" w:lineRule="auto"/>
        <w:tabs>
          <w:tab w:leader="none" w:pos="2051"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40" w:firstLine="964"/>
        <w:spacing w:after="0" w:line="263" w:lineRule="auto"/>
        <w:tabs>
          <w:tab w:leader="none" w:pos="208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Understandings or Arrangements</w:t>
      </w:r>
      <w:r>
        <w:rPr>
          <w:rFonts w:ascii="Arial" w:cs="Arial" w:eastAsia="Arial" w:hAnsi="Arial"/>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the Registration Statement or otherwise in compliance with applicable federal and state securities laws). Such Purchaser is acquiring the Shares hereunder in the ordinary course of its business.</w:t>
      </w:r>
    </w:p>
    <w:p>
      <w:pPr>
        <w:spacing w:after="0" w:line="170" w:lineRule="exact"/>
        <w:rPr>
          <w:sz w:val="20"/>
          <w:szCs w:val="20"/>
          <w:color w:val="auto"/>
        </w:rPr>
      </w:pPr>
    </w:p>
    <w:p>
      <w:pPr>
        <w:jc w:val="both"/>
        <w:ind w:firstLine="964"/>
        <w:spacing w:after="0" w:line="263" w:lineRule="auto"/>
        <w:tabs>
          <w:tab w:leader="none" w:pos="192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183" w:lineRule="exact"/>
        <w:rPr>
          <w:rFonts w:ascii="Arial" w:cs="Arial" w:eastAsia="Arial" w:hAnsi="Arial"/>
          <w:sz w:val="18"/>
          <w:szCs w:val="18"/>
          <w:color w:val="auto"/>
        </w:rPr>
      </w:pPr>
    </w:p>
    <w:p>
      <w:pPr>
        <w:jc w:val="both"/>
        <w:ind w:firstLine="964"/>
        <w:spacing w:after="0" w:line="259" w:lineRule="auto"/>
        <w:tabs>
          <w:tab w:leader="none" w:pos="205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64"/>
        <w:spacing w:after="0" w:line="269" w:lineRule="auto"/>
        <w:tabs>
          <w:tab w:leader="none" w:pos="187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178" w:lineRule="exact"/>
        <w:rPr>
          <w:rFonts w:ascii="Arial" w:cs="Arial" w:eastAsia="Arial" w:hAnsi="Arial"/>
          <w:sz w:val="17"/>
          <w:szCs w:val="17"/>
          <w:color w:val="auto"/>
        </w:rPr>
      </w:pPr>
    </w:p>
    <w:p>
      <w:pPr>
        <w:jc w:val="both"/>
        <w:ind w:firstLine="964"/>
        <w:spacing w:after="0" w:line="291" w:lineRule="auto"/>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31" w:name="page32"/>
    <w:bookmarkEnd w:id="31"/>
    <w:p>
      <w:pPr>
        <w:jc w:val="both"/>
        <w:ind w:left="340"/>
        <w:spacing w:after="0" w:line="254" w:lineRule="auto"/>
        <w:rPr>
          <w:sz w:val="20"/>
          <w:szCs w:val="20"/>
          <w:color w:val="auto"/>
        </w:rPr>
      </w:pPr>
      <w:r>
        <w:rPr>
          <w:rFonts w:ascii="Arial" w:cs="Arial" w:eastAsia="Arial" w:hAnsi="Arial"/>
          <w:sz w:val="18"/>
          <w:szCs w:val="18"/>
          <w:color w:val="auto"/>
        </w:rPr>
        <w:t>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that are bound by confidentiality obligations,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provided, however, that this covenant shall not prevent a sale, merger or similar transaction involving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Securities Laws Disclosure; Publicity</w:t>
      </w:r>
      <w:r>
        <w:rPr>
          <w:rFonts w:ascii="Arial" w:cs="Arial" w:eastAsia="Arial" w:hAnsi="Arial"/>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(other than press releases or public statements that are consistent with the disclosures included in the press release or Current Report on Form 8-K described in the first sentence of this Section 4.4, or required filings with the Commission) without the prior consent of the Company, with respect to any press release of any Purchaser, or without the prior consent of the Placement Agent,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or any Person acting on its behalf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Shares hereunder for the purposes set forth in the Prospectus Supplement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actual, reasonable and documented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To the extent that a Purchaser Party fails to provide timely notice of a claim for indemnity under this Section 4.8, and such failure materially prejudices the Company’s ability to defend against such claim, the Company shall have no obligation under this Section 4.8 to indemnify the Purchaser Party for the claim (or portion thereof) that was so affected.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t>shall be responsible for the actual, reasonable and documented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use commercially reasonable efforts to secure the listing of all of the Shares on such Trading Market. The Company further agrees, if the Company applies to have the Common Stock traded on any other Trading Market, it will then include in such application all of the Shares, and will take such other action as is reasonably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For so long as the Company maintains a listing or quotation of the Common Stock on a Trading Market, the Company agrees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provided, however, that this Section 4.10 shall not prevent a sale, merger or similar transaction involving the Company.</w:t>
      </w:r>
    </w:p>
    <w:p>
      <w:pPr>
        <w:spacing w:after="0" w:line="1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225" w:lineRule="exact"/>
        <w:rPr>
          <w:sz w:val="20"/>
          <w:szCs w:val="20"/>
          <w:color w:val="auto"/>
        </w:rPr>
      </w:pPr>
    </w:p>
    <w:p>
      <w:pPr>
        <w:ind w:left="660" w:firstLine="644"/>
        <w:spacing w:after="0" w:line="342" w:lineRule="auto"/>
        <w:tabs>
          <w:tab w:leader="none" w:pos="2074"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From the date hereof until fourteen (14) days after the Closing Date, neither the Company nor any Subsidiary shall issue, enter into any agreement to issue or announce the issuance or proposed issuance of any shares of Common Stock or Common Stock Equivalents.</w:t>
      </w:r>
    </w:p>
    <w:p>
      <w:pPr>
        <w:spacing w:after="0" w:line="123" w:lineRule="exact"/>
        <w:rPr>
          <w:rFonts w:ascii="Arial" w:cs="Arial" w:eastAsia="Arial" w:hAnsi="Arial"/>
          <w:sz w:val="16"/>
          <w:szCs w:val="16"/>
          <w:color w:val="auto"/>
        </w:rPr>
      </w:pPr>
    </w:p>
    <w:p>
      <w:pPr>
        <w:jc w:val="both"/>
        <w:ind w:left="660" w:firstLine="644"/>
        <w:spacing w:after="0" w:line="263" w:lineRule="auto"/>
        <w:tabs>
          <w:tab w:leader="none" w:pos="20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(i) an Exempt Issuance, (ii) any sales of shares of Common Stock pursuant to the At Market Issuance Sales Agreement or (iii) any other sales of Common Stock at a price per share equal to $9.5625 or greater.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9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39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Sales During Pre-Settlement Period</w:t>
      </w:r>
      <w:r>
        <w:rPr>
          <w:rFonts w:ascii="Arial" w:cs="Arial" w:eastAsia="Arial" w:hAnsi="Arial"/>
          <w:sz w:val="16"/>
          <w:szCs w:val="16"/>
          <w:color w:val="auto"/>
        </w:rPr>
        <w:t>. Notwithstanding anything herein to the contrary, if at any time on or after the time of execution of this Agreement by the Company and an applicable Purchaser, through, and including the time immediately prior to the Closing (the “</w:t>
      </w:r>
      <w:r>
        <w:rPr>
          <w:rFonts w:ascii="Arial" w:cs="Arial" w:eastAsia="Arial" w:hAnsi="Arial"/>
          <w:sz w:val="16"/>
          <w:szCs w:val="16"/>
          <w:u w:val="single" w:color="auto"/>
          <w:color w:val="auto"/>
        </w:rPr>
        <w:t>Pre-Settlement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such Purchaser sells to any Person all, or any portion, of any shares of Common Stock to be issued hereunder to such Purchaser at the Closing (collectively, the “</w:t>
      </w:r>
      <w:r>
        <w:rPr>
          <w:rFonts w:ascii="Arial" w:cs="Arial" w:eastAsia="Arial" w:hAnsi="Arial"/>
          <w:sz w:val="16"/>
          <w:szCs w:val="16"/>
          <w:u w:val="single" w:color="auto"/>
          <w:color w:val="auto"/>
        </w:rPr>
        <w:t>Pre-Settlement Shares</w:t>
      </w:r>
      <w:r>
        <w:rPr>
          <w:rFonts w:ascii="Arial" w:cs="Arial" w:eastAsia="Arial" w:hAnsi="Arial"/>
          <w:sz w:val="16"/>
          <w:szCs w:val="16"/>
          <w:color w:val="auto"/>
        </w:rPr>
        <w:t>”), such Purchaser shall, automatically hereunder (without any additional required actions by such Purchaser or the Company), be deemed to be unconditionally bound to purchase, and the Company shall be deemed unconditionally bound to sell, such Pre-Settlement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75" w:lineRule="auto"/>
        <w:rPr>
          <w:sz w:val="20"/>
          <w:szCs w:val="20"/>
          <w:color w:val="auto"/>
        </w:rPr>
      </w:pPr>
      <w:r>
        <w:rPr>
          <w:rFonts w:ascii="Arial" w:cs="Arial" w:eastAsia="Arial" w:hAnsi="Arial"/>
          <w:sz w:val="17"/>
          <w:szCs w:val="17"/>
          <w:color w:val="auto"/>
        </w:rPr>
        <w:t>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(excluding any income or sales taxes) and duties levied in connection with the delivery of any Shares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public information regarding the Company or any Subsidiaries, the Company shall simultaneously file such notice with the Commission pursuant to a Current Report on Form 8-K.</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(or, prior to the Closing, agreed to purchase)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87" w:lineRule="auto"/>
        <w:rPr>
          <w:sz w:val="20"/>
          <w:szCs w:val="20"/>
          <w:color w:val="auto"/>
        </w:rPr>
      </w:pPr>
      <w:r>
        <w:rPr>
          <w:rFonts w:ascii="Arial" w:cs="Arial" w:eastAsia="Arial" w:hAnsi="Arial"/>
          <w:sz w:val="16"/>
          <w:szCs w:val="16"/>
          <w:color w:val="auto"/>
        </w:rPr>
        <w:t>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Action or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7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between the Company and a Purchaser, solely, and not between the Company and the Purchasers collectively and not between and among the Purchasers.</w:t>
      </w:r>
    </w:p>
    <w:p>
      <w:pPr>
        <w:spacing w:after="0" w:line="2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5.20</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OCUGEN, INC.</w:t>
            </w:r>
          </w:p>
        </w:tc>
        <w:tc>
          <w:tcPr>
            <w:tcW w:w="22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1"/>
              </w:rPr>
              <w:t>Address for Notice:</w:t>
            </w:r>
          </w:p>
        </w:tc>
      </w:tr>
      <w:tr>
        <w:trPr>
          <w:trHeight w:val="453"/>
        </w:trPr>
        <w:tc>
          <w:tcPr>
            <w:tcW w:w="552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Fax:</w:t>
            </w:r>
          </w:p>
        </w:tc>
        <w:tc>
          <w:tcPr>
            <w:tcW w:w="40" w:type="dxa"/>
            <w:vAlign w:val="bottom"/>
          </w:tcPr>
          <w:p>
            <w:pPr>
              <w:spacing w:after="0"/>
              <w:rPr>
                <w:sz w:val="24"/>
                <w:szCs w:val="24"/>
                <w:color w:val="auto"/>
              </w:rPr>
            </w:pPr>
          </w:p>
        </w:tc>
      </w:tr>
      <w:tr>
        <w:trPr>
          <w:trHeight w:val="211"/>
        </w:trPr>
        <w:tc>
          <w:tcPr>
            <w:tcW w:w="34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E-mail:</w:t>
            </w:r>
          </w:p>
        </w:tc>
      </w:tr>
    </w:tbl>
    <w:p>
      <w:pPr>
        <w:ind w:left="34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[PURCHASER SIGNATURE PAGES TO OCGN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25" w:lineRule="exact"/>
        <w:rPr>
          <w:sz w:val="20"/>
          <w:szCs w:val="20"/>
          <w:color w:val="auto"/>
        </w:rPr>
      </w:pPr>
    </w:p>
    <w:p>
      <w:pPr>
        <w:jc w:val="both"/>
        <w:ind w:firstLine="8"/>
        <w:spacing w:after="0" w:line="272" w:lineRule="auto"/>
        <w:tabs>
          <w:tab w:leader="none" w:pos="290" w:val="left"/>
        </w:tabs>
        <w:numPr>
          <w:ilvl w:val="0"/>
          <w:numId w:val="28"/>
        </w:numPr>
        <w:rPr>
          <w:rFonts w:ascii="MS PGothic" w:cs="MS PGothic" w:eastAsia="MS PGothic" w:hAnsi="MS PGothic"/>
          <w:sz w:val="17"/>
          <w:szCs w:val="17"/>
          <w:color w:val="auto"/>
        </w:rPr>
      </w:pPr>
      <w:r>
        <w:rPr>
          <w:rFonts w:ascii="Arial" w:cs="Arial" w:eastAsia="Arial" w:hAnsi="Arial"/>
          <w:sz w:val="17"/>
          <w:szCs w:val="17"/>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Roman"/>
      <w:start w:val="2"/>
    </w:lvl>
  </w:abstractNum>
  <w:abstractNum w:abstractNumId="2">
    <w:nsid w:val="41A7C4C9"/>
    <w:multiLevelType w:val="hybridMultilevel"/>
    <w:lvl w:ilvl="0">
      <w:lvlJc w:val="left"/>
      <w:lvlText w:val="(%1)"/>
      <w:numFmt w:val="lowerLetter"/>
      <w:start w:val="1"/>
    </w:lvl>
    <w:lvl w:ilvl="1">
      <w:lvlJc w:val="left"/>
      <w:lvlText w:val="(%2)"/>
      <w:numFmt w:val="lowerRoman"/>
      <w:start w:val="1"/>
    </w:lvl>
  </w:abstractNum>
  <w:abstractNum w:abstractNumId="3">
    <w:nsid w:val="6B68079A"/>
    <w:multiLevelType w:val="hybridMultilevel"/>
    <w:lvl w:ilvl="0">
      <w:lvlJc w:val="left"/>
      <w:lvlText w:val="(%1)"/>
      <w:numFmt w:val="lowerRoman"/>
      <w:start w:val="5"/>
    </w:lvl>
  </w:abstractNum>
  <w:abstractNum w:abstractNumId="4">
    <w:nsid w:val="4E6AFB66"/>
    <w:multiLevelType w:val="hybridMultilevel"/>
    <w:lvl w:ilvl="0">
      <w:lvlJc w:val="left"/>
      <w:lvlText w:val="(%1)"/>
      <w:numFmt w:val="lowerLetter"/>
      <w:start w:val="2"/>
    </w:lvl>
    <w:lvl w:ilvl="1">
      <w:lvlJc w:val="left"/>
      <w:lvlText w:val="(%2)"/>
      <w:numFmt w:val="lowerRoman"/>
      <w:start w:val="1"/>
    </w:lvl>
  </w:abstractNum>
  <w:abstractNum w:abstractNumId="5">
    <w:nsid w:val="25E45D32"/>
    <w:multiLevelType w:val="hybridMultilevel"/>
    <w:lvl w:ilvl="0">
      <w:lvlJc w:val="left"/>
      <w:lvlText w:val="(%1)"/>
      <w:numFmt w:val="lowerLetter"/>
      <w:start w:val="1"/>
    </w:lvl>
    <w:lvl w:ilvl="1">
      <w:lvlJc w:val="left"/>
      <w:lvlText w:val="(%2)"/>
      <w:numFmt w:val="lowerRoman"/>
      <w:start w:val="1"/>
    </w:lvl>
  </w:abstractNum>
  <w:abstractNum w:abstractNumId="6">
    <w:nsid w:val="519B500D"/>
    <w:multiLevelType w:val="hybridMultilevel"/>
    <w:lvl w:ilvl="0">
      <w:lvlJc w:val="left"/>
      <w:lvlText w:val="(%1)"/>
      <w:numFmt w:val="lowerRoman"/>
      <w:start w:val="4"/>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3"/>
    </w:lvl>
  </w:abstractNum>
  <w:abstractNum w:abstractNumId="9">
    <w:nsid w:val="7C83E458"/>
    <w:multiLevelType w:val="hybridMultilevel"/>
    <w:lvl w:ilvl="0">
      <w:lvlJc w:val="left"/>
      <w:lvlText w:val="(%1)"/>
      <w:numFmt w:val="lowerLetter"/>
      <w:start w:val="35"/>
    </w:lvl>
    <w:lvl w:ilvl="1">
      <w:lvlJc w:val="left"/>
      <w:lvlText w:val="(%2)"/>
      <w:numFmt w:val="lowerLetter"/>
      <w:start w:val="6"/>
    </w:lvl>
  </w:abstractNum>
  <w:abstractNum w:abstractNumId="10">
    <w:nsid w:val="257130A3"/>
    <w:multiLevelType w:val="hybridMultilevel"/>
    <w:lvl w:ilvl="0">
      <w:lvlJc w:val="left"/>
      <w:lvlText w:val="(%1)"/>
      <w:numFmt w:val="lowerRoman"/>
      <w:start w:val="1"/>
    </w:lvl>
    <w:lvl w:ilvl="1">
      <w:lvlJc w:val="left"/>
      <w:lvlText w:val="(%2)"/>
      <w:numFmt w:val="lowerLetter"/>
      <w:start w:val="8"/>
    </w:lvl>
  </w:abstractNum>
  <w:abstractNum w:abstractNumId="11">
    <w:nsid w:val="62BBD95A"/>
    <w:multiLevelType w:val="hybridMultilevel"/>
    <w:lvl w:ilvl="0">
      <w:lvlJc w:val="left"/>
      <w:lvlText w:val="%1"/>
      <w:numFmt w:val="decimal"/>
      <w:start w:val="1"/>
    </w:lvl>
    <w:lvl w:ilvl="1">
      <w:lvlJc w:val="left"/>
      <w:lvlText w:val="(%2)"/>
      <w:numFmt w:val="lowerLetter"/>
      <w:start w:val="9"/>
    </w:lvl>
  </w:abstractNum>
  <w:abstractNum w:abstractNumId="12">
    <w:nsid w:val="436C6125"/>
    <w:multiLevelType w:val="hybridMultilevel"/>
    <w:lvl w:ilvl="0">
      <w:lvlJc w:val="left"/>
      <w:lvlText w:val="(%1)"/>
      <w:numFmt w:val="decimal"/>
      <w:start w:val="1"/>
    </w:lvl>
    <w:lvl w:ilvl="1">
      <w:lvlJc w:val="left"/>
      <w:lvlText w:val="(%2)"/>
      <w:numFmt w:val="lowerLetter"/>
      <w:start w:val="10"/>
    </w:lvl>
  </w:abstractNum>
  <w:abstractNum w:abstractNumId="13">
    <w:nsid w:val="628C895D"/>
    <w:multiLevelType w:val="hybridMultilevel"/>
    <w:lvl w:ilvl="0">
      <w:lvlJc w:val="left"/>
      <w:lvlText w:val="(%1)"/>
      <w:numFmt w:val="lowerLetter"/>
      <w:start w:val="13"/>
    </w:lvl>
  </w:abstractNum>
  <w:abstractNum w:abstractNumId="14">
    <w:nsid w:val="333AB105"/>
    <w:multiLevelType w:val="hybridMultilevel"/>
    <w:lvl w:ilvl="0">
      <w:lvlJc w:val="left"/>
      <w:lvlText w:val="(%1)"/>
      <w:numFmt w:val="lowerLetter"/>
      <w:start w:val="16"/>
    </w:lvl>
  </w:abstractNum>
  <w:abstractNum w:abstractNumId="15">
    <w:nsid w:val="721DA317"/>
    <w:multiLevelType w:val="hybridMultilevel"/>
    <w:lvl w:ilvl="0">
      <w:lvlJc w:val="left"/>
      <w:lvlText w:val="(%1)"/>
      <w:numFmt w:val="lowerLetter"/>
      <w:start w:val="19"/>
    </w:lvl>
  </w:abstractNum>
  <w:abstractNum w:abstractNumId="16">
    <w:nsid w:val="2443A858"/>
    <w:multiLevelType w:val="hybridMultilevel"/>
    <w:lvl w:ilvl="0">
      <w:lvlJc w:val="left"/>
      <w:lvlText w:val="(%1)"/>
      <w:numFmt w:val="lowerLetter"/>
      <w:start w:val="23"/>
    </w:lvl>
  </w:abstractNum>
  <w:abstractNum w:abstractNumId="17">
    <w:nsid w:val="2D1D5AE9"/>
    <w:multiLevelType w:val="hybridMultilevel"/>
    <w:lvl w:ilvl="0">
      <w:lvlJc w:val="left"/>
      <w:lvlText w:val="(%1)"/>
      <w:numFmt w:val="lowerLetter"/>
      <w:start w:val="26"/>
    </w:lvl>
  </w:abstractNum>
  <w:abstractNum w:abstractNumId="18">
    <w:nsid w:val="6763845E"/>
    <w:multiLevelType w:val="hybridMultilevel"/>
    <w:lvl w:ilvl="0">
      <w:lvlJc w:val="left"/>
      <w:lvlText w:val="(%1)"/>
      <w:numFmt w:val="lowerLetter"/>
      <w:start w:val="27"/>
    </w:lvl>
  </w:abstractNum>
  <w:abstractNum w:abstractNumId="19">
    <w:nsid w:val="75A2A8D4"/>
    <w:multiLevelType w:val="hybridMultilevel"/>
    <w:lvl w:ilvl="0">
      <w:lvlJc w:val="left"/>
      <w:lvlText w:val="(%1)"/>
      <w:numFmt w:val="lowerLetter"/>
      <w:start w:val="29"/>
    </w:lvl>
  </w:abstractNum>
  <w:abstractNum w:abstractNumId="20">
    <w:nsid w:val="8EDBDAB"/>
    <w:multiLevelType w:val="hybridMultilevel"/>
    <w:lvl w:ilvl="0">
      <w:lvlJc w:val="left"/>
      <w:lvlText w:val="%1"/>
      <w:numFmt w:val="lowerLetter"/>
      <w:start w:val="1"/>
    </w:lvl>
    <w:lvl w:ilvl="1">
      <w:lvlJc w:val="left"/>
      <w:lvlText w:val="(%2)"/>
      <w:numFmt w:val="lowerLetter"/>
      <w:start w:val="32"/>
    </w:lvl>
  </w:abstractNum>
  <w:abstractNum w:abstractNumId="21">
    <w:nsid w:val="79838CB2"/>
    <w:multiLevelType w:val="hybridMultilevel"/>
    <w:lvl w:ilvl="0">
      <w:lvlJc w:val="left"/>
      <w:lvlText w:val="(%1)"/>
      <w:numFmt w:val="lowerLetter"/>
      <w:start w:val="61"/>
    </w:lvl>
    <w:lvl w:ilvl="1">
      <w:lvlJc w:val="left"/>
      <w:lvlText w:val="(%2)"/>
      <w:numFmt w:val="lowerLetter"/>
      <w:start w:val="33"/>
    </w:lvl>
  </w:abstractNum>
  <w:abstractNum w:abstractNumId="22">
    <w:nsid w:val="4353D0CD"/>
    <w:multiLevelType w:val="hybridMultilevel"/>
    <w:lvl w:ilvl="0">
      <w:lvlJc w:val="left"/>
      <w:lvlText w:val="(%1)"/>
      <w:numFmt w:val="lowerLetter"/>
      <w:start w:val="35"/>
    </w:lvl>
  </w:abstractNum>
  <w:abstractNum w:abstractNumId="23">
    <w:nsid w:val="B03E0C6"/>
    <w:multiLevelType w:val="hybridMultilevel"/>
    <w:lvl w:ilvl="0">
      <w:lvlJc w:val="left"/>
      <w:lvlText w:val="(%1)"/>
      <w:numFmt w:val="lowerLetter"/>
      <w:start w:val="39"/>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3"/>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2021-02-09T16:23:37Z</dcterms:created>
  <dcterms:modified xsi:type="dcterms:W3CDTF">2021-02-09T16:23:37Z</dcterms:modified>
</cp:coreProperties>
</file>